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160"/>
      </w:pPr>
    </w:p>
    <w:p>
      <w:pPr>
        <w:shd w:fill="1B3A6B" w:val="clear"/>
        <w:spacing w:after="0" w:before="0"/>
        <w:jc w:val="center"/>
      </w:pPr>
      <w:r>
        <w:rPr>
          <w:rFonts w:ascii="Arial" w:cs="Arial" w:eastAsia="Arial" w:hAnsi="Arial"/>
          <w:b/>
          <w:bCs/>
          <w:caps/>
          <w:color w:val="FFFFFF"/>
          <w:sz w:val="52"/>
          <w:szCs w:val="52"/>
        </w:rPr>
        <w:t xml:space="preserve">THE ONE WORLD</w:t>
      </w:r>
    </w:p>
    <w:p>
      <w:pPr>
        <w:shd w:fill="1B3A6B" w:val="clear"/>
        <w:spacing w:after="0" w:before="0"/>
        <w:jc w:val="center"/>
      </w:pPr>
      <w:r>
        <w:rPr>
          <w:rFonts w:ascii="Arial" w:cs="Arial" w:eastAsia="Arial" w:hAnsi="Arial"/>
          <w:b/>
          <w:bCs/>
          <w:caps/>
          <w:color w:val="FFFFFF"/>
          <w:sz w:val="36"/>
          <w:szCs w:val="36"/>
        </w:rPr>
        <w:t xml:space="preserve">INTERNATIONAL SCHOOL YANGON</w:t>
      </w:r>
    </w:p>
    <w:p>
      <w:pPr>
        <w:shd w:fill="C9A84C" w:val="clear"/>
        <w:spacing w:after="0" w:before="0"/>
        <w:jc w:val="center"/>
      </w:pPr>
      <w:r>
        <w:rPr>
          <w:sz w:val="14"/>
          <w:szCs w:val="14"/>
        </w:rPr>
        <w:t xml:space="preserve">  </w:t>
      </w:r>
    </w:p>
    <w:p>
      <w:pPr>
        <w:shd w:fill="1B3A6B" w:val="clear"/>
        <w:spacing w:after="500" w:before="0"/>
        <w:jc w:val="center"/>
      </w:pPr>
      <w:r>
        <w:rPr>
          <w:rFonts w:ascii="Arial" w:cs="Arial" w:eastAsia="Arial" w:hAnsi="Arial"/>
          <w:b/>
          <w:bCs/>
          <w:caps/>
          <w:color w:val="C9A84C"/>
          <w:sz w:val="60"/>
          <w:szCs w:val="60"/>
        </w:rPr>
        <w:t xml:space="preserve">TOWIS</w:t>
      </w:r>
    </w:p>
    <w:p>
      <w:pPr>
        <w:spacing w:after="80" w:before="200"/>
        <w:jc w:val="center"/>
      </w:pPr>
      <w:r>
        <w:rPr>
          <w:rFonts w:ascii="Arial" w:cs="Arial" w:eastAsia="Arial" w:hAnsi="Arial"/>
          <w:b/>
          <w:bCs/>
          <w:color w:val="1B3A6B"/>
          <w:sz w:val="44"/>
          <w:szCs w:val="44"/>
        </w:rPr>
        <w:t xml:space="preserve">Parent &amp; Community Handbook</w:t>
      </w:r>
    </w:p>
    <w:p>
      <w:pPr>
        <w:spacing w:after="80" w:before="0"/>
        <w:jc w:val="center"/>
      </w:pPr>
      <w:r>
        <w:rPr>
          <w:rFonts w:ascii="Arial" w:cs="Arial" w:eastAsia="Arial" w:hAnsi="Arial"/>
          <w:color w:val="2A7F8F"/>
          <w:sz w:val="28"/>
          <w:szCs w:val="28"/>
        </w:rPr>
        <w:t xml:space="preserve">Academic Year 2026 – 2027</w:t>
      </w:r>
    </w:p>
    <w:p>
      <w:pPr>
        <w:pBdr>
          <w:bottom w:val="single" w:color="C9A84C" w:sz="6" w:space="1"/>
        </w:pBdr>
        <w:spacing w:after="60" w:before="60"/>
      </w:pPr>
    </w:p>
    <w:p>
      <w:pPr>
        <w:spacing w:after="40" w:before="80"/>
        <w:jc w:val="center"/>
      </w:pPr>
      <w:r>
        <w:rPr>
          <w:rFonts w:ascii="Arial" w:cs="Arial" w:eastAsia="Arial" w:hAnsi="Arial"/>
          <w:color w:val="1B3A6B"/>
          <w:sz w:val="22"/>
          <w:szCs w:val="22"/>
        </w:rPr>
        <w:t xml:space="preserve">EYFS  |  Primary  |  Secondary  |  IGCSE</w:t>
      </w:r>
    </w:p>
    <w:p>
      <w:pPr>
        <w:spacing w:after="40" w:before="40"/>
        <w:jc w:val="center"/>
      </w:pPr>
      <w:r>
        <w:rPr>
          <w:rFonts w:ascii="Arial" w:cs="Arial" w:eastAsia="Arial" w:hAnsi="Arial"/>
          <w:i/>
          <w:iCs/>
          <w:color w:val="2A7F8F"/>
          <w:sz w:val="20"/>
          <w:szCs w:val="20"/>
        </w:rPr>
        <w:t xml:space="preserve">Cambridge International Accredited School</w:t>
      </w:r>
    </w:p>
    <w:p>
      <w:pPr>
        <w:spacing w:after="40" w:before="0"/>
        <w:jc w:val="center"/>
      </w:pPr>
      <w:r>
        <w:rPr>
          <w:rFonts w:ascii="Arial" w:cs="Arial" w:eastAsia="Arial" w:hAnsi="Arial"/>
          <w:i/>
          <w:iCs/>
          <w:color w:val="888888"/>
          <w:sz w:val="18"/>
          <w:szCs w:val="18"/>
        </w:rPr>
        <w:t xml:space="preserve">(Final written confirmation pending)</w:t>
      </w:r>
    </w:p>
    <w:p>
      <w:pPr>
        <w:spacing w:after="80" w:before="160"/>
      </w:pPr>
    </w:p>
    <w:p>
      <w:pPr>
        <w:pBdr>
          <w:bottom w:val="single" w:color="1B3A6B" w:sz="6" w:space="1"/>
        </w:pBdr>
        <w:spacing w:after="60" w:before="60"/>
      </w:pPr>
    </w:p>
    <w:p>
      <w:pPr>
        <w:spacing w:after="40" w:before="80"/>
        <w:jc w:val="center"/>
      </w:pPr>
      <w:r>
        <w:rPr>
          <w:rFonts w:ascii="Arial" w:cs="Arial" w:eastAsia="Arial" w:hAnsi="Arial"/>
          <w:color w:val="444444"/>
          <w:sz w:val="18"/>
          <w:szCs w:val="18"/>
        </w:rPr>
        <w:t xml:space="preserve">268 Min Gyi Road, Yangon 11011, Myanmar  |  +95 9 45063 4402  |  admissions@owis-yangon.com</w:t>
      </w:r>
    </w:p>
    <w:p>
      <w:r>
        <w:br w:type="page"/>
      </w:r>
    </w:p>
    <w:p>
      <w:pPr>
        <w:spacing w:after="160" w:before="0"/>
      </w:pPr>
      <w:r>
        <w:rPr>
          <w:rFonts w:ascii="Arial" w:cs="Arial" w:eastAsia="Arial" w:hAnsi="Arial"/>
          <w:b/>
          <w:bCs/>
          <w:color w:val="1B3A6B"/>
          <w:sz w:val="36"/>
          <w:szCs w:val="36"/>
        </w:rPr>
        <w:t xml:space="preserve">Contents</w:t>
      </w:r>
    </w:p>
    <w:p>
      <w:pPr>
        <w:pBdr>
          <w:bottom w:val="single" w:color="C9A84C" w:sz="6" w:space="1"/>
        </w:pBdr>
        <w:spacing w:after="60" w:before="60"/>
      </w:pPr>
    </w:p>
    <w:p>
      <w:pPr>
        <w:spacing w:after="40" w:before="80"/>
      </w:pPr>
    </w:p>
    <w:p>
      <w:pPr>
        <w:tabs>
          <w:tab w:val="right" w:pos="10106" w:leader="dot"/>
        </w:tabs>
        <w:spacing w:after="60" w:before="60"/>
      </w:pPr>
      <w:r>
        <w:rPr>
          <w:rFonts w:ascii="Arial" w:cs="Arial" w:eastAsia="Arial" w:hAnsi="Arial"/>
          <w:color w:val="1B3A6B"/>
          <w:sz w:val="20"/>
          <w:szCs w:val="20"/>
        </w:rPr>
        <w:t xml:space="preserve">A Welcome from the Principal</w:t>
      </w:r>
      <w:r>
        <w:rPr>
          <w:rFonts w:ascii="Arial" w:cs="Arial" w:eastAsia="Arial" w:hAnsi="Arial"/>
          <w:color w:val="444444"/>
          <w:sz w:val="20"/>
          <w:szCs w:val="20"/>
        </w:rPr>
        <w:t xml:space="preserve">	3</w:t>
      </w:r>
    </w:p>
    <w:p>
      <w:pPr>
        <w:tabs>
          <w:tab w:val="right" w:pos="10106" w:leader="dot"/>
        </w:tabs>
        <w:spacing w:after="60" w:before="60"/>
      </w:pPr>
      <w:r>
        <w:rPr>
          <w:rFonts w:ascii="Arial" w:cs="Arial" w:eastAsia="Arial" w:hAnsi="Arial"/>
          <w:color w:val="1B3A6B"/>
          <w:sz w:val="20"/>
          <w:szCs w:val="20"/>
        </w:rPr>
        <w:t xml:space="preserve">The ACE Approach</w:t>
      </w:r>
      <w:r>
        <w:rPr>
          <w:rFonts w:ascii="Arial" w:cs="Arial" w:eastAsia="Arial" w:hAnsi="Arial"/>
          <w:color w:val="444444"/>
          <w:sz w:val="20"/>
          <w:szCs w:val="20"/>
        </w:rPr>
        <w:t xml:space="preserve">	5</w:t>
      </w:r>
    </w:p>
    <w:p>
      <w:pPr>
        <w:tabs>
          <w:tab w:val="right" w:pos="10106" w:leader="dot"/>
        </w:tabs>
        <w:spacing w:after="60" w:before="60"/>
      </w:pPr>
      <w:r>
        <w:rPr>
          <w:rFonts w:ascii="Arial" w:cs="Arial" w:eastAsia="Arial" w:hAnsi="Arial"/>
          <w:color w:val="1B3A6B"/>
          <w:sz w:val="20"/>
          <w:szCs w:val="20"/>
        </w:rPr>
        <w:t xml:space="preserve">About Our School</w:t>
      </w:r>
      <w:r>
        <w:rPr>
          <w:rFonts w:ascii="Arial" w:cs="Arial" w:eastAsia="Arial" w:hAnsi="Arial"/>
          <w:color w:val="444444"/>
          <w:sz w:val="20"/>
          <w:szCs w:val="20"/>
        </w:rPr>
        <w:t xml:space="preserve">	9</w:t>
      </w:r>
    </w:p>
    <w:p>
      <w:pPr>
        <w:tabs>
          <w:tab w:val="right" w:pos="10106" w:leader="dot"/>
        </w:tabs>
        <w:spacing w:after="60" w:before="60"/>
      </w:pPr>
      <w:r>
        <w:rPr>
          <w:rFonts w:ascii="Arial" w:cs="Arial" w:eastAsia="Arial" w:hAnsi="Arial"/>
          <w:color w:val="1B3A6B"/>
          <w:sz w:val="20"/>
          <w:szCs w:val="20"/>
        </w:rPr>
        <w:t xml:space="preserve">Admissions</w:t>
      </w:r>
      <w:r>
        <w:rPr>
          <w:rFonts w:ascii="Arial" w:cs="Arial" w:eastAsia="Arial" w:hAnsi="Arial"/>
          <w:color w:val="444444"/>
          <w:sz w:val="20"/>
          <w:szCs w:val="20"/>
        </w:rPr>
        <w:t xml:space="preserve">	13</w:t>
      </w:r>
    </w:p>
    <w:p>
      <w:pPr>
        <w:tabs>
          <w:tab w:val="right" w:pos="10106" w:leader="dot"/>
        </w:tabs>
        <w:spacing w:after="60" w:before="60"/>
      </w:pPr>
      <w:r>
        <w:rPr>
          <w:rFonts w:ascii="Arial" w:cs="Arial" w:eastAsia="Arial" w:hAnsi="Arial"/>
          <w:color w:val="1B3A6B"/>
          <w:sz w:val="20"/>
          <w:szCs w:val="20"/>
        </w:rPr>
        <w:t xml:space="preserve">Curriculum &amp; Academic Programme</w:t>
      </w:r>
      <w:r>
        <w:rPr>
          <w:rFonts w:ascii="Arial" w:cs="Arial" w:eastAsia="Arial" w:hAnsi="Arial"/>
          <w:color w:val="444444"/>
          <w:sz w:val="20"/>
          <w:szCs w:val="20"/>
        </w:rPr>
        <w:t xml:space="preserve">	15</w:t>
      </w:r>
    </w:p>
    <w:p>
      <w:pPr>
        <w:tabs>
          <w:tab w:val="right" w:pos="10106" w:leader="dot"/>
        </w:tabs>
        <w:spacing w:after="60" w:before="60"/>
      </w:pPr>
      <w:r>
        <w:rPr>
          <w:rFonts w:ascii="Arial" w:cs="Arial" w:eastAsia="Arial" w:hAnsi="Arial"/>
          <w:color w:val="1B3A6B"/>
          <w:sz w:val="20"/>
          <w:szCs w:val="20"/>
        </w:rPr>
        <w:t xml:space="preserve">School Life</w:t>
      </w:r>
      <w:r>
        <w:rPr>
          <w:rFonts w:ascii="Arial" w:cs="Arial" w:eastAsia="Arial" w:hAnsi="Arial"/>
          <w:color w:val="444444"/>
          <w:sz w:val="20"/>
          <w:szCs w:val="20"/>
        </w:rPr>
        <w:t xml:space="preserve">	24</w:t>
      </w:r>
    </w:p>
    <w:p>
      <w:pPr>
        <w:tabs>
          <w:tab w:val="right" w:pos="10106" w:leader="dot"/>
        </w:tabs>
        <w:spacing w:after="60" w:before="60"/>
      </w:pPr>
      <w:r>
        <w:rPr>
          <w:rFonts w:ascii="Arial" w:cs="Arial" w:eastAsia="Arial" w:hAnsi="Arial"/>
          <w:color w:val="1B3A6B"/>
          <w:sz w:val="20"/>
          <w:szCs w:val="20"/>
        </w:rPr>
        <w:t xml:space="preserve">Key Policies</w:t>
      </w:r>
      <w:r>
        <w:rPr>
          <w:rFonts w:ascii="Arial" w:cs="Arial" w:eastAsia="Arial" w:hAnsi="Arial"/>
          <w:color w:val="444444"/>
          <w:sz w:val="20"/>
          <w:szCs w:val="20"/>
        </w:rPr>
        <w:t xml:space="preserve">	34</w:t>
      </w:r>
    </w:p>
    <w:p>
      <w:pPr>
        <w:tabs>
          <w:tab w:val="right" w:pos="10106" w:leader="dot"/>
        </w:tabs>
        <w:spacing w:after="60" w:before="60"/>
      </w:pPr>
      <w:r>
        <w:rPr>
          <w:rFonts w:ascii="Arial" w:cs="Arial" w:eastAsia="Arial" w:hAnsi="Arial"/>
          <w:color w:val="1B3A6B"/>
          <w:sz w:val="20"/>
          <w:szCs w:val="20"/>
        </w:rPr>
        <w:t xml:space="preserve">Health &amp; Medical</w:t>
      </w:r>
      <w:r>
        <w:rPr>
          <w:rFonts w:ascii="Arial" w:cs="Arial" w:eastAsia="Arial" w:hAnsi="Arial"/>
          <w:color w:val="444444"/>
          <w:sz w:val="20"/>
          <w:szCs w:val="20"/>
        </w:rPr>
        <w:t xml:space="preserve">	44</w:t>
      </w:r>
    </w:p>
    <w:p>
      <w:pPr>
        <w:tabs>
          <w:tab w:val="right" w:pos="10106" w:leader="dot"/>
        </w:tabs>
        <w:spacing w:after="60" w:before="60"/>
      </w:pPr>
      <w:r>
        <w:rPr>
          <w:rFonts w:ascii="Arial" w:cs="Arial" w:eastAsia="Arial" w:hAnsi="Arial"/>
          <w:color w:val="1B3A6B"/>
          <w:sz w:val="20"/>
          <w:szCs w:val="20"/>
        </w:rPr>
        <w:t xml:space="preserve">Communication with the School</w:t>
      </w:r>
      <w:r>
        <w:rPr>
          <w:rFonts w:ascii="Arial" w:cs="Arial" w:eastAsia="Arial" w:hAnsi="Arial"/>
          <w:color w:val="444444"/>
          <w:sz w:val="20"/>
          <w:szCs w:val="20"/>
        </w:rPr>
        <w:t xml:space="preserve">	47</w:t>
      </w:r>
    </w:p>
    <w:p>
      <w:pPr>
        <w:tabs>
          <w:tab w:val="right" w:pos="10106" w:leader="dot"/>
        </w:tabs>
        <w:spacing w:after="60" w:before="60"/>
      </w:pPr>
      <w:r>
        <w:rPr>
          <w:rFonts w:ascii="Arial" w:cs="Arial" w:eastAsia="Arial" w:hAnsi="Arial"/>
          <w:color w:val="1B3A6B"/>
          <w:sz w:val="20"/>
          <w:szCs w:val="20"/>
        </w:rPr>
        <w:t xml:space="preserve">Parents &amp; Community</w:t>
      </w:r>
      <w:r>
        <w:rPr>
          <w:rFonts w:ascii="Arial" w:cs="Arial" w:eastAsia="Arial" w:hAnsi="Arial"/>
          <w:color w:val="444444"/>
          <w:sz w:val="20"/>
          <w:szCs w:val="20"/>
        </w:rPr>
        <w:t xml:space="preserve">	55</w:t>
      </w:r>
    </w:p>
    <w:p>
      <w:pPr>
        <w:tabs>
          <w:tab w:val="right" w:pos="10106" w:leader="dot"/>
        </w:tabs>
        <w:spacing w:after="60" w:before="60"/>
      </w:pPr>
      <w:r>
        <w:rPr>
          <w:rFonts w:ascii="Arial" w:cs="Arial" w:eastAsia="Arial" w:hAnsi="Arial"/>
          <w:color w:val="1B3A6B"/>
          <w:sz w:val="20"/>
          <w:szCs w:val="20"/>
        </w:rPr>
        <w:t xml:space="preserve">Facilities &amp; Transport</w:t>
      </w:r>
      <w:r>
        <w:rPr>
          <w:rFonts w:ascii="Arial" w:cs="Arial" w:eastAsia="Arial" w:hAnsi="Arial"/>
          <w:color w:val="444444"/>
          <w:sz w:val="20"/>
          <w:szCs w:val="20"/>
        </w:rPr>
        <w:t xml:space="preserve">	57</w:t>
      </w:r>
    </w:p>
    <w:p>
      <w:pPr>
        <w:tabs>
          <w:tab w:val="right" w:pos="10106" w:leader="dot"/>
        </w:tabs>
        <w:spacing w:after="60" w:before="60"/>
      </w:pPr>
      <w:r>
        <w:rPr>
          <w:rFonts w:ascii="Arial" w:cs="Arial" w:eastAsia="Arial" w:hAnsi="Arial"/>
          <w:color w:val="1B3A6B"/>
          <w:sz w:val="20"/>
          <w:szCs w:val="20"/>
        </w:rPr>
        <w:t xml:space="preserve">Appendices</w:t>
      </w:r>
      <w:r>
        <w:rPr>
          <w:rFonts w:ascii="Arial" w:cs="Arial" w:eastAsia="Arial" w:hAnsi="Arial"/>
          <w:color w:val="444444"/>
          <w:sz w:val="20"/>
          <w:szCs w:val="20"/>
        </w:rPr>
        <w:t xml:space="preserve">	60</w:t>
      </w:r>
    </w:p>
    <w:p>
      <w:r>
        <w:br w:type="page"/>
      </w:r>
    </w:p>
    <w:p>
      <w:pPr>
        <w:shd w:fill="1B3A6B" w:val="clear"/>
        <w:spacing w:after="0" w:before="0"/>
      </w:pPr>
      <w:r>
        <w:rPr>
          <w:rFonts w:ascii="Arial" w:cs="Arial" w:eastAsia="Arial" w:hAnsi="Arial"/>
          <w:b/>
          <w:bCs/>
          <w:caps/>
          <w:color w:val="FFFFFF"/>
          <w:sz w:val="34"/>
          <w:szCs w:val="34"/>
        </w:rPr>
        <w:t xml:space="preserve">A Welcome from the Principal</w:t>
      </w:r>
    </w:p>
    <w:p>
      <w:pPr>
        <w:spacing w:after="80" w:before="200"/>
      </w:pPr>
    </w:p>
    <w:p>
      <w:pPr>
        <w:spacing w:after="100" w:before="60"/>
      </w:pPr>
      <w:r>
        <w:rPr>
          <w:rFonts w:ascii="Arial" w:cs="Arial" w:eastAsia="Arial" w:hAnsi="Arial"/>
          <w:color w:val="444444"/>
          <w:sz w:val="20"/>
          <w:szCs w:val="20"/>
        </w:rPr>
        <w:t xml:space="preserve">Dear Families,</w:t>
      </w:r>
    </w:p>
    <w:p>
      <w:pPr>
        <w:spacing w:after="80" w:before="40"/>
      </w:pPr>
    </w:p>
    <w:p>
      <w:pPr>
        <w:spacing w:after="100" w:before="60"/>
      </w:pPr>
      <w:r>
        <w:rPr>
          <w:rFonts w:ascii="Arial" w:cs="Arial" w:eastAsia="Arial" w:hAnsi="Arial"/>
          <w:color w:val="444444"/>
          <w:sz w:val="20"/>
          <w:szCs w:val="20"/>
        </w:rPr>
        <w:t xml:space="preserve">Welcome to The One World International School. Whether you are a new family joining us for the first time, or a returning family beginning another chapter in your child’s journey with us, I am genuinely delighted you are here.</w:t>
      </w:r>
    </w:p>
    <w:p>
      <w:pPr>
        <w:spacing w:after="100" w:before="60"/>
      </w:pPr>
      <w:r>
        <w:rPr>
          <w:rFonts w:ascii="Arial" w:cs="Arial" w:eastAsia="Arial" w:hAnsi="Arial"/>
          <w:color w:val="444444"/>
          <w:sz w:val="20"/>
          <w:szCs w:val="20"/>
        </w:rPr>
        <w:t xml:space="preserve">I came to education over 30 years ago because I believe it is the most important thing any adult can do for a child. Not just teaching them to pass examinations — though we do that very well — but helping them grow into confident, kind, resilient, curious human beings who are ready for the world. That belief has never left me, and it shapes everything we do at TOWIS.</w:t>
      </w:r>
    </w:p>
    <w:p>
      <w:pPr>
        <w:spacing w:after="100" w:before="60"/>
      </w:pPr>
      <w:r>
        <w:rPr>
          <w:rFonts w:ascii="Arial" w:cs="Arial" w:eastAsia="Arial" w:hAnsi="Arial"/>
          <w:color w:val="444444"/>
          <w:sz w:val="20"/>
          <w:szCs w:val="20"/>
        </w:rPr>
        <w:t xml:space="preserve">My career has taken me across four continents — from the United Kingdom and Ireland to the Middle East, Southeast Asia, and now Myanmar — leading British and international schools through start-up, growth, and transformation. I have been a founding principal, a turnaround principal, and an inspection leader. I have worked with Cambridge, Pearson Edexcel, the IB, and the British National Curriculum. But through all of it, the thing that has mattered most to me has never changed: the children.</w:t>
      </w:r>
    </w:p>
    <w:p>
      <w:pPr>
        <w:spacing w:after="100" w:before="60"/>
      </w:pPr>
      <w:r>
        <w:rPr>
          <w:rFonts w:ascii="Arial" w:cs="Arial" w:eastAsia="Arial" w:hAnsi="Arial"/>
          <w:color w:val="444444"/>
          <w:sz w:val="20"/>
          <w:szCs w:val="20"/>
        </w:rPr>
        <w:t xml:space="preserve">I am also a father of four — all grown up now, but I remember every stage of their education vividly. The excitement, the anxiety, the milestones, the moments of doubt, and the moments of pride. My four children had the same parents, the same home, the same upbringing — and yet they are four completely different people. Each one needed different things at different times: different encouragement, different challenges, different kinds of support. That experience taught me something no leadership course ever could — that every child is unique, and a great school must be responsive to that. It is why we do not apply a one-size-fits-all approach at TOWIS. I treat every child here as I would want my own children to be treated: with respect, high expectations, genuine care, and an unwavering commitment to helping them be the very best version of themselves.</w:t>
      </w:r>
    </w:p>
    <w:p>
      <w:pPr>
        <w:spacing w:after="100" w:before="60"/>
      </w:pPr>
      <w:r>
        <w:rPr>
          <w:rFonts w:ascii="Arial" w:cs="Arial" w:eastAsia="Arial" w:hAnsi="Arial"/>
          <w:color w:val="444444"/>
          <w:sz w:val="20"/>
          <w:szCs w:val="20"/>
        </w:rPr>
        <w:t xml:space="preserve">At TOWIS, we have built something I am genuinely proud of. Our ACE Approach — Academic Excellence, Character Development, and Engagement — is not a slogan. It is a living framework that runs through our curriculum, our pastoral care, our assessment systems, and our daily culture. We follow the Cambridge International pathway, which means your child is learning to world-class standards that are recognised by universities and employers across the globe. And we never let a child fall behind without acting — early intervention is at the heart of everything we do.</w:t>
      </w:r>
    </w:p>
    <w:p>
      <w:pPr>
        <w:spacing w:after="100" w:before="60"/>
      </w:pPr>
      <w:r>
        <w:rPr>
          <w:rFonts w:ascii="Arial" w:cs="Arial" w:eastAsia="Arial" w:hAnsi="Arial"/>
          <w:color w:val="444444"/>
          <w:sz w:val="20"/>
          <w:szCs w:val="20"/>
        </w:rPr>
        <w:t xml:space="preserve">I want you to know that my door is always open. Literally and figuratively. If you have a question, a concern, a compliment, or just want to understand better how your child is doing and why — please reach out. I would far rather have an honest conversation early than a problem that has grown because no one spoke up. Good schools are built on trust between families and staff, and that trust begins with communication.</w:t>
      </w:r>
    </w:p>
    <w:p>
      <w:pPr>
        <w:spacing w:after="100" w:before="60"/>
      </w:pPr>
      <w:r>
        <w:rPr>
          <w:rFonts w:ascii="Arial" w:cs="Arial" w:eastAsia="Arial" w:hAnsi="Arial"/>
          <w:color w:val="444444"/>
          <w:sz w:val="20"/>
          <w:szCs w:val="20"/>
        </w:rPr>
        <w:t xml:space="preserve">Thank you for entrusting your child to us. We do not take that responsibility lightly.</w:t>
      </w:r>
    </w:p>
    <w:p>
      <w:pPr>
        <w:spacing w:after="80" w:before="100"/>
      </w:pPr>
    </w:p>
    <w:p>
      <w:pPr>
        <w:spacing w:after="100" w:before="60"/>
      </w:pPr>
      <w:r>
        <w:rPr>
          <w:rFonts w:ascii="Arial" w:cs="Arial" w:eastAsia="Arial" w:hAnsi="Arial"/>
          <w:color w:val="444444"/>
          <w:sz w:val="20"/>
          <w:szCs w:val="20"/>
        </w:rPr>
        <w:t xml:space="preserve">With warm regards,</w:t>
      </w:r>
    </w:p>
    <w:p>
      <w:pPr>
        <w:spacing w:after="80" w:before="60"/>
      </w:pPr>
    </w:p>
    <w:p>
      <w:pPr>
        <w:spacing w:after="100" w:before="60"/>
      </w:pPr>
      <w:r>
        <w:rPr>
          <w:rFonts w:ascii="Arial" w:cs="Arial" w:eastAsia="Arial" w:hAnsi="Arial"/>
          <w:b/>
          <w:bCs/>
          <w:color w:val="444444"/>
          <w:sz w:val="20"/>
          <w:szCs w:val="20"/>
        </w:rPr>
        <w:t xml:space="preserve">Mr. Jarlath Madine</w:t>
      </w:r>
    </w:p>
    <w:p>
      <w:pPr>
        <w:spacing w:after="100" w:before="60"/>
      </w:pPr>
      <w:r>
        <w:rPr>
          <w:rFonts w:ascii="Arial" w:cs="Arial" w:eastAsia="Arial" w:hAnsi="Arial"/>
          <w:color w:val="444444"/>
          <w:sz w:val="20"/>
          <w:szCs w:val="20"/>
        </w:rPr>
        <w:t xml:space="preserve">Principal, The One World International School Yangon</w:t>
      </w:r>
    </w:p>
    <w:p>
      <w:pPr>
        <w:spacing w:after="100" w:before="60"/>
      </w:pPr>
      <w:r>
        <w:rPr>
          <w:rFonts w:ascii="Arial" w:cs="Arial" w:eastAsia="Arial" w:hAnsi="Arial"/>
          <w:color w:val="444444"/>
          <w:sz w:val="20"/>
          <w:szCs w:val="20"/>
        </w:rPr>
        <w:t xml:space="preserve">BEd (Physical Education &amp; Geography), Queen’s University Belfast</w:t>
      </w:r>
    </w:p>
    <w:p>
      <w:pPr>
        <w:spacing w:after="100" w:before="60"/>
      </w:pPr>
      <w:r>
        <w:rPr>
          <w:rFonts w:ascii="Arial" w:cs="Arial" w:eastAsia="Arial" w:hAnsi="Arial"/>
          <w:color w:val="444444"/>
          <w:sz w:val="20"/>
          <w:szCs w:val="20"/>
        </w:rPr>
        <w:t xml:space="preserve">School Inspector Competent (Etio International Inspector Skills Programme, 2026)</w:t>
      </w:r>
    </w:p>
    <w:p>
      <w:pPr>
        <w:spacing w:after="100" w:before="60"/>
      </w:pPr>
      <w:r>
        <w:rPr>
          <w:rFonts w:ascii="Arial" w:cs="Arial" w:eastAsia="Arial" w:hAnsi="Arial"/>
          <w:color w:val="444444"/>
          <w:sz w:val="20"/>
          <w:szCs w:val="20"/>
        </w:rPr>
        <w:t xml:space="preserve">headmaster@towa.edu.mm  |  linkedin.com/in/jarlath-madine</w:t>
      </w:r>
    </w:p>
    <w:p>
      <w:pPr>
        <w:shd w:fill="1B3A6B" w:val="clear"/>
        <w:spacing w:after="0" w:before="0"/>
      </w:pPr>
      <w:r>
        <w:rPr>
          <w:rFonts w:ascii="Arial" w:cs="Arial" w:eastAsia="Arial" w:hAnsi="Arial"/>
          <w:b/>
          <w:bCs/>
          <w:caps/>
          <w:color w:val="FFFFFF"/>
          <w:sz w:val="34"/>
          <w:szCs w:val="34"/>
        </w:rPr>
        <w:t xml:space="preserve">The ACE Approach: Our Holistic Framework</w:t>
      </w:r>
    </w:p>
    <w:p>
      <w:pPr>
        <w:spacing w:after="80" w:before="160"/>
      </w:pPr>
    </w:p>
    <w:p>
      <w:pPr>
        <w:spacing w:after="100" w:before="60"/>
      </w:pPr>
      <w:r>
        <w:rPr>
          <w:rFonts w:ascii="Arial" w:cs="Arial" w:eastAsia="Arial" w:hAnsi="Arial"/>
          <w:color w:val="444444"/>
          <w:sz w:val="20"/>
          <w:szCs w:val="20"/>
        </w:rPr>
        <w:t xml:space="preserve">At The One World International School, everything we do is shaped by three interconnected pillars. Together they form the ACE Approach: our commitment not just to preparing students to pass examinations, but to preparing them for life.</w:t>
      </w:r>
    </w:p>
    <w:p>
      <w:pPr>
        <w:spacing w:after="80" w:before="60"/>
      </w:pP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368"/>
        <w:gridCol w:w="3368"/>
        <w:gridCol w:w="3370"/>
      </w:tblGrid>
      <w:tr>
        <w:tc>
          <w:tcPr>
            <w:tcW w:type="dxa" w:w="3368"/>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A — Academic Excellence</w:t>
            </w:r>
          </w:p>
        </w:tc>
        <w:tc>
          <w:tcPr>
            <w:tcW w:type="dxa" w:w="3368"/>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C — Character Development</w:t>
            </w:r>
          </w:p>
        </w:tc>
        <w:tc>
          <w:tcPr>
            <w:tcW w:type="dxa" w:w="3370"/>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E — Engagement</w:t>
            </w:r>
          </w:p>
        </w:tc>
      </w:tr>
      <w:tr>
        <w:tc>
          <w:tcPr>
            <w:tcW w:type="dxa" w:w="336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Excelling in exams and developing independent learning skills.</w:t>
            </w:r>
          </w:p>
        </w:tc>
        <w:tc>
          <w:tcPr>
            <w:tcW w:type="dxa" w:w="336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Nurturing values, resilience, and positive attitudes for life.</w:t>
            </w:r>
          </w:p>
        </w:tc>
        <w:tc>
          <w:tcPr>
            <w:tcW w:type="dxa" w:w="337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Active participation in school, community, and the wider world.</w:t>
            </w:r>
          </w:p>
        </w:tc>
      </w:tr>
      <w:tr>
        <w:tc>
          <w:tcPr>
            <w:tcW w:type="dxa" w:w="336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Driven by: clear policies, programmes &amp; procedures built around four key questions — Curriculum, Pedagogy, Assessment &amp; Intervention.</w:t>
            </w:r>
          </w:p>
        </w:tc>
        <w:tc>
          <w:tcPr>
            <w:tcW w:type="dxa" w:w="336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Driven by: Positive Behaviours for Learning &amp; Positive Attitudes for Life, measured through the behaviour points system and attendance.</w:t>
            </w:r>
          </w:p>
        </w:tc>
        <w:tc>
          <w:tcPr>
            <w:tcW w:type="dxa" w:w="337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Driven by: active participation in the classroom, at home, in the neighbourhood, nationally and globally.</w:t>
            </w:r>
          </w:p>
        </w:tc>
      </w:tr>
    </w:tbl>
    <w:p>
      <w:pPr>
        <w:spacing w:after="100" w:before="100"/>
        <w:jc w:val="center"/>
      </w:pPr>
      <w:r>
        <w:rPr>
          <w:rFonts w:ascii="Arial" w:cs="Arial" w:eastAsia="Arial" w:hAnsi="Arial"/>
          <w:b/>
          <w:bCs/>
          <w:i/>
          <w:iCs/>
          <w:color w:val="1B3A6B"/>
          <w:sz w:val="24"/>
          <w:szCs w:val="24"/>
        </w:rPr>
        <w:t xml:space="preserve">“Preparing students to pass exams — and preparing them for life.”</w:t>
      </w:r>
    </w:p>
    <w:p>
      <w:pPr>
        <w:pStyle w:val="Heading2"/>
        <w:spacing w:after="110" w:before="240"/>
      </w:pPr>
      <w:r>
        <w:rPr>
          <w:rFonts w:ascii="Arial" w:cs="Arial" w:eastAsia="Arial" w:hAnsi="Arial"/>
          <w:b/>
          <w:bCs/>
          <w:color w:val="1B3A6B"/>
          <w:sz w:val="26"/>
          <w:szCs w:val="26"/>
        </w:rPr>
        <w:t xml:space="preserve">The Five Performance Bands</w:t>
      </w:r>
    </w:p>
    <w:p>
      <w:pPr>
        <w:spacing w:after="100" w:before="60"/>
      </w:pPr>
      <w:r>
        <w:rPr>
          <w:rFonts w:ascii="Arial" w:cs="Arial" w:eastAsia="Arial" w:hAnsi="Arial"/>
          <w:color w:val="444444"/>
          <w:sz w:val="20"/>
          <w:szCs w:val="20"/>
        </w:rPr>
        <w:t xml:space="preserve">Across all three pillars of the ACE Approach, student performance is described using five bands, aligned with British and international standards. The same bands apply to Academic Excellence (standardised and teacher assessments), Character Development (behaviour points system), and Engagement (attendance percentage). Statistically, most students perform at the expected level. Some will be above or below, and a smaller number will be well above or well below.</w:t>
      </w:r>
    </w:p>
    <w:p>
      <w:pPr>
        <w:spacing w:after="80" w:before="60"/>
      </w:pP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707"/>
        <w:gridCol w:w="2728"/>
        <w:gridCol w:w="2021"/>
        <w:gridCol w:w="4650"/>
      </w:tblGrid>
      <w:tr>
        <w:tc>
          <w:tcPr>
            <w:tcW w:type="dxa" w:w="707"/>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Band</w:t>
            </w:r>
          </w:p>
        </w:tc>
        <w:tc>
          <w:tcPr>
            <w:tcW w:type="dxa" w:w="2728"/>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Colour / Spirit</w:t>
            </w:r>
          </w:p>
        </w:tc>
        <w:tc>
          <w:tcPr>
            <w:tcW w:type="dxa" w:w="2021"/>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Performance</w:t>
            </w:r>
          </w:p>
        </w:tc>
        <w:tc>
          <w:tcPr>
            <w:tcW w:type="dxa" w:w="4650"/>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What it means</w:t>
            </w:r>
          </w:p>
        </w:tc>
      </w:tr>
      <w:tr>
        <w:tc>
          <w:tcPr>
            <w:tcW w:type="dxa" w:w="707"/>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w:t>
            </w:r>
          </w:p>
        </w:tc>
        <w:tc>
          <w:tcPr>
            <w:tcW w:type="dxa" w:w="2728"/>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Space Blue — Out of this world</w:t>
            </w:r>
          </w:p>
        </w:tc>
        <w:tc>
          <w:tcPr>
            <w:tcW w:type="dxa" w:w="202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Well Above Expected</w:t>
            </w:r>
          </w:p>
        </w:tc>
        <w:tc>
          <w:tcPr>
            <w:tcW w:type="dxa" w:w="4650"/>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Exceptional performance significantly beyond age-related expectations. Celebrate and keep challenging.</w:t>
            </w:r>
          </w:p>
        </w:tc>
      </w:tr>
      <w:tr>
        <w:tc>
          <w:tcPr>
            <w:tcW w:type="dxa" w:w="707"/>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B</w:t>
            </w:r>
          </w:p>
        </w:tc>
        <w:tc>
          <w:tcPr>
            <w:tcW w:type="dxa" w:w="2728"/>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Sky Blue — Flying high</w:t>
            </w:r>
          </w:p>
        </w:tc>
        <w:tc>
          <w:tcPr>
            <w:tcW w:type="dxa" w:w="2021"/>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Above Expected</w:t>
            </w:r>
          </w:p>
        </w:tc>
        <w:tc>
          <w:tcPr>
            <w:tcW w:type="dxa" w:w="4650"/>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Performing above age-related expectations. Keep going — the sky is not the limit.</w:t>
            </w:r>
          </w:p>
        </w:tc>
      </w:tr>
      <w:tr>
        <w:tc>
          <w:tcPr>
            <w:tcW w:type="dxa" w:w="707"/>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C</w:t>
            </w:r>
          </w:p>
        </w:tc>
        <w:tc>
          <w:tcPr>
            <w:tcW w:type="dxa" w:w="2728"/>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Green — Good and growing</w:t>
            </w:r>
          </w:p>
        </w:tc>
        <w:tc>
          <w:tcPr>
            <w:tcW w:type="dxa" w:w="202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Expected Standard</w:t>
            </w:r>
          </w:p>
        </w:tc>
        <w:tc>
          <w:tcPr>
            <w:tcW w:type="dxa" w:w="4650"/>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Exactly where they should be for their age. Meeting expectations and making steady progress.</w:t>
            </w:r>
          </w:p>
        </w:tc>
      </w:tr>
      <w:tr>
        <w:tc>
          <w:tcPr>
            <w:tcW w:type="dxa" w:w="707"/>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D</w:t>
            </w:r>
          </w:p>
        </w:tc>
        <w:tc>
          <w:tcPr>
            <w:tcW w:type="dxa" w:w="2728"/>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Amber — Pay attention</w:t>
            </w:r>
          </w:p>
        </w:tc>
        <w:tc>
          <w:tcPr>
            <w:tcW w:type="dxa" w:w="2021"/>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Below Expected</w:t>
            </w:r>
          </w:p>
        </w:tc>
        <w:tc>
          <w:tcPr>
            <w:tcW w:type="dxa" w:w="4650"/>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Falling below age-related expectations. Targeted Wave 2 support is put in place. Action is required.</w:t>
            </w:r>
          </w:p>
        </w:tc>
      </w:tr>
      <w:tr>
        <w:tc>
          <w:tcPr>
            <w:tcW w:type="dxa" w:w="707"/>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E</w:t>
            </w:r>
          </w:p>
        </w:tc>
        <w:tc>
          <w:tcPr>
            <w:tcW w:type="dxa" w:w="2728"/>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Red — Act immediately</w:t>
            </w:r>
          </w:p>
        </w:tc>
        <w:tc>
          <w:tcPr>
            <w:tcW w:type="dxa" w:w="202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Well Below Expected</w:t>
            </w:r>
          </w:p>
        </w:tc>
        <w:tc>
          <w:tcPr>
            <w:tcW w:type="dxa" w:w="4650"/>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Significantly below expectations. Intensive Wave 3 support activated immediately. Parents contacted without delay.</w:t>
            </w:r>
          </w:p>
        </w:tc>
      </w:tr>
    </w:tbl>
    <w:p>
      <w:pPr>
        <w:pStyle w:val="Heading2"/>
        <w:spacing w:after="110" w:before="240"/>
      </w:pPr>
      <w:r>
        <w:rPr>
          <w:rFonts w:ascii="Arial" w:cs="Arial" w:eastAsia="Arial" w:hAnsi="Arial"/>
          <w:b/>
          <w:bCs/>
          <w:color w:val="1B3A6B"/>
          <w:sz w:val="26"/>
          <w:szCs w:val="26"/>
        </w:rPr>
        <w:t xml:space="preserve">How the Five Bands Apply Across ACE</w:t>
      </w:r>
    </w:p>
    <w:p>
      <w:pPr>
        <w:spacing w:after="100" w:before="60"/>
      </w:pPr>
      <w:r>
        <w:rPr>
          <w:rFonts w:ascii="Arial" w:cs="Arial" w:eastAsia="Arial" w:hAnsi="Arial"/>
          <w:color w:val="444444"/>
          <w:sz w:val="20"/>
          <w:szCs w:val="20"/>
        </w:rPr>
        <w:t xml:space="preserve">The same five bands apply consistently across all three pillars, giving students, parents, and teachers one shared language for performance:</w:t>
      </w:r>
    </w:p>
    <w:p>
      <w:pPr>
        <w:spacing w:after="80" w:before="40"/>
      </w:pP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1616"/>
        <w:gridCol w:w="3031"/>
        <w:gridCol w:w="3031"/>
        <w:gridCol w:w="2428"/>
      </w:tblGrid>
      <w:tr>
        <w:tc>
          <w:tcPr>
            <w:tcW w:type="dxa" w:w="1616"/>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Band</w:t>
            </w:r>
          </w:p>
        </w:tc>
        <w:tc>
          <w:tcPr>
            <w:tcW w:type="dxa" w:w="3031"/>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Academic Excellence</w:t>
            </w:r>
          </w:p>
        </w:tc>
        <w:tc>
          <w:tcPr>
            <w:tcW w:type="dxa" w:w="3031"/>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Character Development</w:t>
            </w:r>
          </w:p>
        </w:tc>
        <w:tc>
          <w:tcPr>
            <w:tcW w:type="dxa" w:w="2428"/>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Engagement</w:t>
            </w:r>
          </w:p>
        </w:tc>
      </w:tr>
      <w:tr>
        <w:tc>
          <w:tcPr>
            <w:tcW w:type="dxa" w:w="1616"/>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 — Space Blue</w:t>
            </w:r>
          </w:p>
        </w:tc>
        <w:tc>
          <w:tcPr>
            <w:tcW w:type="dxa" w:w="303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Assessments well above expected</w:t>
            </w:r>
          </w:p>
        </w:tc>
        <w:tc>
          <w:tcPr>
            <w:tcW w:type="dxa" w:w="303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Behaviour points well above target</w:t>
            </w:r>
          </w:p>
        </w:tc>
        <w:tc>
          <w:tcPr>
            <w:tcW w:type="dxa" w:w="2428"/>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Attendance well above 95%</w:t>
            </w:r>
          </w:p>
        </w:tc>
      </w:tr>
      <w:tr>
        <w:tc>
          <w:tcPr>
            <w:tcW w:type="dxa" w:w="1616"/>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B — Sky Blue</w:t>
            </w:r>
          </w:p>
        </w:tc>
        <w:tc>
          <w:tcPr>
            <w:tcW w:type="dxa" w:w="3031"/>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Assessments above expected</w:t>
            </w:r>
          </w:p>
        </w:tc>
        <w:tc>
          <w:tcPr>
            <w:tcW w:type="dxa" w:w="3031"/>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Behaviour points above target</w:t>
            </w:r>
          </w:p>
        </w:tc>
        <w:tc>
          <w:tcPr>
            <w:tcW w:type="dxa" w:w="2428"/>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Attendance above 95%</w:t>
            </w:r>
          </w:p>
        </w:tc>
      </w:tr>
      <w:tr>
        <w:tc>
          <w:tcPr>
            <w:tcW w:type="dxa" w:w="1616"/>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C — Green</w:t>
            </w:r>
          </w:p>
        </w:tc>
        <w:tc>
          <w:tcPr>
            <w:tcW w:type="dxa" w:w="303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Assessments at expected level</w:t>
            </w:r>
          </w:p>
        </w:tc>
        <w:tc>
          <w:tcPr>
            <w:tcW w:type="dxa" w:w="303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Behaviour points meeting target</w:t>
            </w:r>
          </w:p>
        </w:tc>
        <w:tc>
          <w:tcPr>
            <w:tcW w:type="dxa" w:w="2428"/>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Attendance 92–95%</w:t>
            </w:r>
          </w:p>
        </w:tc>
      </w:tr>
      <w:tr>
        <w:tc>
          <w:tcPr>
            <w:tcW w:type="dxa" w:w="1616"/>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D — Amber</w:t>
            </w:r>
          </w:p>
        </w:tc>
        <w:tc>
          <w:tcPr>
            <w:tcW w:type="dxa" w:w="3031"/>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Assessments below expected</w:t>
            </w:r>
          </w:p>
        </w:tc>
        <w:tc>
          <w:tcPr>
            <w:tcW w:type="dxa" w:w="3031"/>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Behaviour points below target</w:t>
            </w:r>
          </w:p>
        </w:tc>
        <w:tc>
          <w:tcPr>
            <w:tcW w:type="dxa" w:w="2428"/>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Attendance 85–91%</w:t>
            </w:r>
          </w:p>
        </w:tc>
      </w:tr>
      <w:tr>
        <w:tc>
          <w:tcPr>
            <w:tcW w:type="dxa" w:w="1616"/>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E — Red</w:t>
            </w:r>
          </w:p>
        </w:tc>
        <w:tc>
          <w:tcPr>
            <w:tcW w:type="dxa" w:w="303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Assessments well below expected</w:t>
            </w:r>
          </w:p>
        </w:tc>
        <w:tc>
          <w:tcPr>
            <w:tcW w:type="dxa" w:w="303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Behaviour points well below target</w:t>
            </w:r>
          </w:p>
        </w:tc>
        <w:tc>
          <w:tcPr>
            <w:tcW w:type="dxa" w:w="2428"/>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Attendance below 85%</w:t>
            </w:r>
          </w:p>
        </w:tc>
      </w:tr>
    </w:tbl>
    <w:p>
      <w:pPr>
        <w:pStyle w:val="Heading2"/>
        <w:spacing w:after="110" w:before="240"/>
      </w:pPr>
      <w:r>
        <w:rPr>
          <w:rFonts w:ascii="Arial" w:cs="Arial" w:eastAsia="Arial" w:hAnsi="Arial"/>
          <w:b/>
          <w:bCs/>
          <w:color w:val="1B3A6B"/>
          <w:sz w:val="26"/>
          <w:szCs w:val="26"/>
        </w:rPr>
        <w:t xml:space="preserve">Why Early Intervention Matters</w:t>
      </w:r>
    </w:p>
    <w:p>
      <w:pPr>
        <w:spacing w:after="100" w:before="60"/>
      </w:pPr>
      <w:r>
        <w:rPr>
          <w:rFonts w:ascii="Arial" w:cs="Arial" w:eastAsia="Arial" w:hAnsi="Arial"/>
          <w:color w:val="444444"/>
          <w:sz w:val="20"/>
          <w:szCs w:val="20"/>
        </w:rPr>
        <w:t xml:space="preserve">The aim at TOWIS is for every student to reach at least the expected standard across all three pillars of ACE — and ideally to go beyond it. Standardised assessments set each student’s personalised target, meaning that ‘expected’ is not a single fixed bar for everyone.</w:t>
      </w:r>
    </w:p>
    <w:p>
      <w:pPr>
        <w:spacing w:after="100" w:before="60"/>
      </w:pPr>
      <w:r>
        <w:rPr>
          <w:rFonts w:ascii="Arial" w:cs="Arial" w:eastAsia="Arial" w:hAnsi="Arial"/>
          <w:color w:val="444444"/>
          <w:sz w:val="20"/>
          <w:szCs w:val="20"/>
        </w:rPr>
        <w:t xml:space="preserve">Whenever a student falls below Green (Band C) in any area — academic, character, or engagement — the school does not wait. Early intervention is a cornerstone of everything we do at TOWIS. The sooner support is in place, the sooner a student returns to the trajectory they deserve.</w:t>
      </w:r>
    </w:p>
    <w:p>
      <w:pPr>
        <w:spacing w:after="100" w:before="60"/>
      </w:pPr>
      <w:r>
        <w:rPr>
          <w:rFonts w:ascii="Arial" w:cs="Arial" w:eastAsia="Arial" w:hAnsi="Arial"/>
          <w:color w:val="444444"/>
          <w:sz w:val="20"/>
          <w:szCs w:val="20"/>
        </w:rPr>
        <w:t xml:space="preserve">Parents are always contacted and involved the moment any intervention is triggered. We believe that school and home working together is the most powerful combination of all.</w:t>
      </w:r>
    </w:p>
    <w:p>
      <w:pPr>
        <w:shd w:fill="1B3A6B" w:val="clear"/>
        <w:spacing w:after="0" w:before="0"/>
      </w:pPr>
      <w:r>
        <w:rPr>
          <w:rFonts w:ascii="Arial" w:cs="Arial" w:eastAsia="Arial" w:hAnsi="Arial"/>
          <w:b/>
          <w:bCs/>
          <w:caps/>
          <w:color w:val="FFFFFF"/>
          <w:sz w:val="34"/>
          <w:szCs w:val="34"/>
        </w:rPr>
        <w:t xml:space="preserve">About Our School</w:t>
      </w:r>
    </w:p>
    <w:p>
      <w:pPr>
        <w:spacing w:after="80" w:before="160"/>
      </w:pPr>
    </w:p>
    <w:p>
      <w:pPr>
        <w:pStyle w:val="Heading2"/>
        <w:spacing w:after="110" w:before="240"/>
      </w:pPr>
      <w:r>
        <w:rPr>
          <w:rFonts w:ascii="Arial" w:cs="Arial" w:eastAsia="Arial" w:hAnsi="Arial"/>
          <w:b/>
          <w:bCs/>
          <w:color w:val="1B3A6B"/>
          <w:sz w:val="26"/>
          <w:szCs w:val="26"/>
        </w:rPr>
        <w:t xml:space="preserve">School Profile</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233"/>
        <w:gridCol w:w="6873"/>
      </w:tblGrid>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School Name</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The One World International School Yangon (TOWIS)</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Part of</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The One World Academy | City Academy International</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Address</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268 Min Gyi Road, Yangon 11011, Myanmar</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Phone</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+95 9 45063 4402</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Office Hours</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Monday to Friday, 8:00 AM – 5:00 PM</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School Hours</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8:00 AM – 3:50 PM</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Maps</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https://maps.app.goo.gl/P4ZEpQEZQW2KVLibA</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Established</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TOWIS 2023 | Building on The One World Academy and City Academy International</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Type</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British International School</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Accreditation</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Cambridge International Accredited School (final written confirmation pending)</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Curriculum</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British National Curriculum (EYFS through to IGCSE)</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Year Groups</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Nursery (age 3) through to Year 11 (IGCSE)</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Languages</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English (Language of Instruction); Myanmar and Chinese (Additional Languages)</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Academic Year</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2026 – 2027 (10 August 2026 to 4 June 2027)</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Contact</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admissions@owis-yangon.com | +95 9 45063 4402</w:t>
            </w:r>
          </w:p>
        </w:tc>
      </w:tr>
    </w:tbl>
    <w:p>
      <w:pPr>
        <w:pStyle w:val="Heading2"/>
        <w:spacing w:after="110" w:before="240"/>
      </w:pPr>
      <w:r>
        <w:rPr>
          <w:rFonts w:ascii="Arial" w:cs="Arial" w:eastAsia="Arial" w:hAnsi="Arial"/>
          <w:b/>
          <w:bCs/>
          <w:color w:val="1B3A6B"/>
          <w:sz w:val="26"/>
          <w:szCs w:val="26"/>
        </w:rPr>
        <w:t xml:space="preserve">Our Mission</w:t>
      </w:r>
    </w:p>
    <w:p>
      <w:pPr>
        <w:spacing w:after="100" w:before="60"/>
      </w:pPr>
      <w:r>
        <w:rPr>
          <w:rFonts w:ascii="Arial" w:cs="Arial" w:eastAsia="Arial" w:hAnsi="Arial"/>
          <w:color w:val="444444"/>
          <w:sz w:val="20"/>
          <w:szCs w:val="20"/>
        </w:rPr>
        <w:t xml:space="preserve">At The One World International School, we inspire every student to achieve their potential through the ACE Approach:</w:t>
      </w:r>
    </w:p>
    <w:p>
      <w:pPr>
        <w:pStyle w:val="ListParagraph"/>
        <w:numPr>
          <w:ilvl w:val="0"/>
          <w:numId w:val="2"/>
        </w:numPr>
        <w:spacing w:after="40" w:before="40"/>
      </w:pPr>
      <w:r>
        <w:rPr>
          <w:rFonts w:ascii="Arial" w:cs="Arial" w:eastAsia="Arial" w:hAnsi="Arial"/>
          <w:color w:val="444444"/>
          <w:sz w:val="20"/>
          <w:szCs w:val="20"/>
        </w:rPr>
        <w:t xml:space="preserve">Academic Excellence — preparing students to excel in their studies and examinations.</w:t>
      </w:r>
    </w:p>
    <w:p>
      <w:pPr>
        <w:pStyle w:val="ListParagraph"/>
        <w:numPr>
          <w:ilvl w:val="0"/>
          <w:numId w:val="2"/>
        </w:numPr>
        <w:spacing w:after="40" w:before="40"/>
      </w:pPr>
      <w:r>
        <w:rPr>
          <w:rFonts w:ascii="Arial" w:cs="Arial" w:eastAsia="Arial" w:hAnsi="Arial"/>
          <w:color w:val="444444"/>
          <w:sz w:val="20"/>
          <w:szCs w:val="20"/>
        </w:rPr>
        <w:t xml:space="preserve">Character Development — nurturing values, resilience, and positive attitudes for life.</w:t>
      </w:r>
    </w:p>
    <w:p>
      <w:pPr>
        <w:pStyle w:val="ListParagraph"/>
        <w:numPr>
          <w:ilvl w:val="0"/>
          <w:numId w:val="2"/>
        </w:numPr>
        <w:spacing w:after="40" w:before="40"/>
      </w:pPr>
      <w:r>
        <w:rPr>
          <w:rFonts w:ascii="Arial" w:cs="Arial" w:eastAsia="Arial" w:hAnsi="Arial"/>
          <w:color w:val="444444"/>
          <w:sz w:val="20"/>
          <w:szCs w:val="20"/>
        </w:rPr>
        <w:t xml:space="preserve">Engagement — ensuring active participation in school, community, host country, home country, and the wider world.</w:t>
      </w:r>
    </w:p>
    <w:p>
      <w:pPr>
        <w:spacing w:after="100" w:before="60"/>
      </w:pPr>
      <w:r>
        <w:rPr>
          <w:rFonts w:ascii="Arial" w:cs="Arial" w:eastAsia="Arial" w:hAnsi="Arial"/>
          <w:color w:val="444444"/>
          <w:sz w:val="20"/>
          <w:szCs w:val="20"/>
        </w:rPr>
        <w:t xml:space="preserve">We prepare our learners not only to pass exams, but also to prepare them for life and to be ready for the world.</w:t>
      </w:r>
    </w:p>
    <w:p>
      <w:pPr>
        <w:pStyle w:val="Heading2"/>
        <w:spacing w:after="110" w:before="240"/>
      </w:pPr>
      <w:r>
        <w:rPr>
          <w:rFonts w:ascii="Arial" w:cs="Arial" w:eastAsia="Arial" w:hAnsi="Arial"/>
          <w:b/>
          <w:bCs/>
          <w:color w:val="1B3A6B"/>
          <w:sz w:val="26"/>
          <w:szCs w:val="26"/>
        </w:rPr>
        <w:t xml:space="preserve">Our Vision</w:t>
      </w:r>
    </w:p>
    <w:p>
      <w:pPr>
        <w:spacing w:after="100" w:before="60"/>
      </w:pPr>
      <w:r>
        <w:rPr>
          <w:rFonts w:ascii="Arial" w:cs="Arial" w:eastAsia="Arial" w:hAnsi="Arial"/>
          <w:color w:val="444444"/>
          <w:sz w:val="20"/>
          <w:szCs w:val="20"/>
        </w:rPr>
        <w:t xml:space="preserve">To be recognised as a school that develops confident, resilient, and compassionate young people who embody the ACE Approach. Our students will leave prepared for academic success, equipped with strong character, and committed to contributing positively in a rapidly changing world.</w:t>
      </w:r>
    </w:p>
    <w:p>
      <w:pPr>
        <w:pStyle w:val="Heading2"/>
        <w:spacing w:after="110" w:before="240"/>
      </w:pPr>
      <w:r>
        <w:rPr>
          <w:rFonts w:ascii="Arial" w:cs="Arial" w:eastAsia="Arial" w:hAnsi="Arial"/>
          <w:b/>
          <w:bCs/>
          <w:color w:val="1B3A6B"/>
          <w:sz w:val="26"/>
          <w:szCs w:val="26"/>
        </w:rPr>
        <w:t xml:space="preserve">Our Guiding Belief</w:t>
      </w:r>
    </w:p>
    <w:p>
      <w:pPr>
        <w:spacing w:after="100" w:before="100"/>
        <w:jc w:val="center"/>
      </w:pPr>
      <w:r>
        <w:rPr>
          <w:rFonts w:ascii="Arial" w:cs="Arial" w:eastAsia="Arial" w:hAnsi="Arial"/>
          <w:b/>
          <w:bCs/>
          <w:i/>
          <w:iCs/>
          <w:color w:val="1B3A6B"/>
          <w:sz w:val="24"/>
          <w:szCs w:val="24"/>
        </w:rPr>
        <w:t xml:space="preserve">“Preparing to pass exams, and preparing for life.”</w:t>
      </w:r>
    </w:p>
    <w:p>
      <w:pPr>
        <w:spacing w:after="100" w:before="60"/>
      </w:pPr>
      <w:r>
        <w:rPr>
          <w:rFonts w:ascii="Arial" w:cs="Arial" w:eastAsia="Arial" w:hAnsi="Arial"/>
          <w:color w:val="444444"/>
          <w:sz w:val="20"/>
          <w:szCs w:val="20"/>
        </w:rPr>
        <w:t xml:space="preserve">Through the ACE Approach, we foster both Positive Behaviours for Learning and Positive Attitudes for Life, uniting students, staff, parents, and the community in a shared purpose.</w:t>
      </w:r>
    </w:p>
    <w:p>
      <w:pPr>
        <w:pStyle w:val="Heading2"/>
        <w:spacing w:after="110" w:before="240"/>
      </w:pPr>
      <w:r>
        <w:rPr>
          <w:rFonts w:ascii="Arial" w:cs="Arial" w:eastAsia="Arial" w:hAnsi="Arial"/>
          <w:b/>
          <w:bCs/>
          <w:color w:val="1B3A6B"/>
          <w:sz w:val="26"/>
          <w:szCs w:val="26"/>
        </w:rPr>
        <w:t xml:space="preserve">The TOWIS Student Profile</w:t>
      </w:r>
    </w:p>
    <w:p>
      <w:pPr>
        <w:pStyle w:val="Heading3"/>
        <w:spacing w:after="70" w:before="170"/>
      </w:pPr>
      <w:r>
        <w:rPr>
          <w:rFonts w:ascii="Arial" w:cs="Arial" w:eastAsia="Arial" w:hAnsi="Arial"/>
          <w:b/>
          <w:bCs/>
          <w:color w:val="2A7F8F"/>
          <w:sz w:val="22"/>
          <w:szCs w:val="22"/>
        </w:rPr>
        <w:t xml:space="preserve">Positive Behaviours for Learning</w:t>
      </w:r>
    </w:p>
    <w:p>
      <w:pPr>
        <w:pStyle w:val="ListParagraph"/>
        <w:numPr>
          <w:ilvl w:val="0"/>
          <w:numId w:val="2"/>
        </w:numPr>
        <w:spacing w:after="40" w:before="40"/>
      </w:pPr>
      <w:r>
        <w:rPr>
          <w:rFonts w:ascii="Arial" w:cs="Arial" w:eastAsia="Arial" w:hAnsi="Arial"/>
          <w:color w:val="444444"/>
          <w:sz w:val="20"/>
          <w:szCs w:val="20"/>
        </w:rPr>
        <w:t xml:space="preserve">Confident — willing to take risks in learning and articulate their ideas.</w:t>
      </w:r>
    </w:p>
    <w:p>
      <w:pPr>
        <w:pStyle w:val="ListParagraph"/>
        <w:numPr>
          <w:ilvl w:val="0"/>
          <w:numId w:val="2"/>
        </w:numPr>
        <w:spacing w:after="40" w:before="40"/>
      </w:pPr>
      <w:r>
        <w:rPr>
          <w:rFonts w:ascii="Arial" w:cs="Arial" w:eastAsia="Arial" w:hAnsi="Arial"/>
          <w:color w:val="444444"/>
          <w:sz w:val="20"/>
          <w:szCs w:val="20"/>
        </w:rPr>
        <w:t xml:space="preserve">Responsible — taking ownership of their learning, organised and reliable.</w:t>
      </w:r>
    </w:p>
    <w:p>
      <w:pPr>
        <w:pStyle w:val="ListParagraph"/>
        <w:numPr>
          <w:ilvl w:val="0"/>
          <w:numId w:val="2"/>
        </w:numPr>
        <w:spacing w:after="40" w:before="40"/>
      </w:pPr>
      <w:r>
        <w:rPr>
          <w:rFonts w:ascii="Arial" w:cs="Arial" w:eastAsia="Arial" w:hAnsi="Arial"/>
          <w:color w:val="444444"/>
          <w:sz w:val="20"/>
          <w:szCs w:val="20"/>
        </w:rPr>
        <w:t xml:space="preserve">Reflective — evaluating progress and acting on feedback.</w:t>
      </w:r>
    </w:p>
    <w:p>
      <w:pPr>
        <w:pStyle w:val="ListParagraph"/>
        <w:numPr>
          <w:ilvl w:val="0"/>
          <w:numId w:val="2"/>
        </w:numPr>
        <w:spacing w:after="40" w:before="40"/>
      </w:pPr>
      <w:r>
        <w:rPr>
          <w:rFonts w:ascii="Arial" w:cs="Arial" w:eastAsia="Arial" w:hAnsi="Arial"/>
          <w:color w:val="444444"/>
          <w:sz w:val="20"/>
          <w:szCs w:val="20"/>
        </w:rPr>
        <w:t xml:space="preserve">Innovative — applying creativity and critical thinking to solve problems.</w:t>
      </w:r>
    </w:p>
    <w:p>
      <w:pPr>
        <w:pStyle w:val="ListParagraph"/>
        <w:numPr>
          <w:ilvl w:val="0"/>
          <w:numId w:val="2"/>
        </w:numPr>
        <w:spacing w:after="40" w:before="40"/>
      </w:pPr>
      <w:r>
        <w:rPr>
          <w:rFonts w:ascii="Arial" w:cs="Arial" w:eastAsia="Arial" w:hAnsi="Arial"/>
          <w:color w:val="444444"/>
          <w:sz w:val="20"/>
          <w:szCs w:val="20"/>
        </w:rPr>
        <w:t xml:space="preserve">Engaged — curious, active participants in lessons and wider learning.</w:t>
      </w:r>
    </w:p>
    <w:p>
      <w:pPr>
        <w:pStyle w:val="Heading3"/>
        <w:spacing w:after="70" w:before="170"/>
      </w:pPr>
      <w:r>
        <w:rPr>
          <w:rFonts w:ascii="Arial" w:cs="Arial" w:eastAsia="Arial" w:hAnsi="Arial"/>
          <w:b/>
          <w:bCs/>
          <w:color w:val="2A7F8F"/>
          <w:sz w:val="22"/>
          <w:szCs w:val="22"/>
        </w:rPr>
        <w:t xml:space="preserve">Positive Attitudes for Life</w:t>
      </w:r>
    </w:p>
    <w:p>
      <w:pPr>
        <w:pStyle w:val="ListParagraph"/>
        <w:numPr>
          <w:ilvl w:val="0"/>
          <w:numId w:val="2"/>
        </w:numPr>
        <w:spacing w:after="40" w:before="40"/>
      </w:pPr>
      <w:r>
        <w:rPr>
          <w:rFonts w:ascii="Arial" w:cs="Arial" w:eastAsia="Arial" w:hAnsi="Arial"/>
          <w:color w:val="444444"/>
          <w:sz w:val="20"/>
          <w:szCs w:val="20"/>
        </w:rPr>
        <w:t xml:space="preserve">Respectful — caring for themselves, others, and the environment.</w:t>
      </w:r>
    </w:p>
    <w:p>
      <w:pPr>
        <w:pStyle w:val="ListParagraph"/>
        <w:numPr>
          <w:ilvl w:val="0"/>
          <w:numId w:val="2"/>
        </w:numPr>
        <w:spacing w:after="40" w:before="40"/>
      </w:pPr>
      <w:r>
        <w:rPr>
          <w:rFonts w:ascii="Arial" w:cs="Arial" w:eastAsia="Arial" w:hAnsi="Arial"/>
          <w:color w:val="444444"/>
          <w:sz w:val="20"/>
          <w:szCs w:val="20"/>
        </w:rPr>
        <w:t xml:space="preserve">Resilient — persevering through challenges with optimism and courage.</w:t>
      </w:r>
    </w:p>
    <w:p>
      <w:pPr>
        <w:pStyle w:val="ListParagraph"/>
        <w:numPr>
          <w:ilvl w:val="0"/>
          <w:numId w:val="2"/>
        </w:numPr>
        <w:spacing w:after="40" w:before="40"/>
      </w:pPr>
      <w:r>
        <w:rPr>
          <w:rFonts w:ascii="Arial" w:cs="Arial" w:eastAsia="Arial" w:hAnsi="Arial"/>
          <w:color w:val="444444"/>
          <w:sz w:val="20"/>
          <w:szCs w:val="20"/>
        </w:rPr>
        <w:t xml:space="preserve">Healthy — balancing physical, emotional, and mental well-being.</w:t>
      </w:r>
    </w:p>
    <w:p>
      <w:pPr>
        <w:pStyle w:val="ListParagraph"/>
        <w:numPr>
          <w:ilvl w:val="0"/>
          <w:numId w:val="2"/>
        </w:numPr>
        <w:spacing w:after="40" w:before="40"/>
      </w:pPr>
      <w:r>
        <w:rPr>
          <w:rFonts w:ascii="Arial" w:cs="Arial" w:eastAsia="Arial" w:hAnsi="Arial"/>
          <w:color w:val="444444"/>
          <w:sz w:val="20"/>
          <w:szCs w:val="20"/>
        </w:rPr>
        <w:t xml:space="preserve">Creative — embracing imagination and exploring new opportunities.</w:t>
      </w:r>
    </w:p>
    <w:p>
      <w:pPr>
        <w:pStyle w:val="ListParagraph"/>
        <w:numPr>
          <w:ilvl w:val="0"/>
          <w:numId w:val="2"/>
        </w:numPr>
        <w:spacing w:after="40" w:before="40"/>
      </w:pPr>
      <w:r>
        <w:rPr>
          <w:rFonts w:ascii="Arial" w:cs="Arial" w:eastAsia="Arial" w:hAnsi="Arial"/>
          <w:color w:val="444444"/>
          <w:sz w:val="20"/>
          <w:szCs w:val="20"/>
        </w:rPr>
        <w:t xml:space="preserve">Empathetic — showing kindness, understanding others, and contributing to the community and the wider world.</w:t>
      </w:r>
    </w:p>
    <w:p>
      <w:pPr>
        <w:pStyle w:val="Heading2"/>
        <w:spacing w:after="110" w:before="240"/>
      </w:pPr>
      <w:r>
        <w:rPr>
          <w:rFonts w:ascii="Arial" w:cs="Arial" w:eastAsia="Arial" w:hAnsi="Arial"/>
          <w:b/>
          <w:bCs/>
          <w:color w:val="1B3A6B"/>
          <w:sz w:val="26"/>
          <w:szCs w:val="26"/>
        </w:rPr>
        <w:t xml:space="preserve">Our Story</w:t>
      </w:r>
    </w:p>
    <w:p>
      <w:pPr>
        <w:spacing w:after="100" w:before="60"/>
      </w:pPr>
      <w:r>
        <w:rPr>
          <w:rFonts w:ascii="Arial" w:cs="Arial" w:eastAsia="Arial" w:hAnsi="Arial"/>
          <w:color w:val="444444"/>
          <w:sz w:val="20"/>
          <w:szCs w:val="20"/>
        </w:rPr>
        <w:t xml:space="preserve">The One World International School (TOWIS) was established in Yangon in 2023 with a clear and ambitious purpose: to bring the world-renowned Cambridge International pathway to Myanmar, giving students here the same opportunities and choices available to students anywhere in the world.</w:t>
      </w:r>
    </w:p>
    <w:p>
      <w:pPr>
        <w:spacing w:after="100" w:before="60"/>
      </w:pPr>
      <w:r>
        <w:rPr>
          <w:rFonts w:ascii="Arial" w:cs="Arial" w:eastAsia="Arial" w:hAnsi="Arial"/>
          <w:color w:val="444444"/>
          <w:sz w:val="20"/>
          <w:szCs w:val="20"/>
        </w:rPr>
        <w:t xml:space="preserve">TOWIS is part of The One World Academy — an already established and successful school in Myanmar — and sits within City Academy International, a learning organisation with deep roots in Myanmar education. This means TOWIS combines the experience, infrastructure, and community trust of an established institution with the fresh ambition and rigour of a school built from the ground up around the Cambridge curriculum.</w:t>
      </w:r>
    </w:p>
    <w:p>
      <w:pPr>
        <w:spacing w:after="100" w:before="60"/>
      </w:pPr>
      <w:r>
        <w:rPr>
          <w:rFonts w:ascii="Arial" w:cs="Arial" w:eastAsia="Arial" w:hAnsi="Arial"/>
          <w:color w:val="444444"/>
          <w:sz w:val="20"/>
          <w:szCs w:val="20"/>
        </w:rPr>
        <w:t xml:space="preserve">Our goal is straightforward: to deliver the Cambridge International pathway from Early Years through to IGCSE and, in future, A Levels — culminating in internationally recognised qualifications that open doors to the world’s top universities. A TOWIS student who earns their IGCSE results leaves school with the same credentials as a student in the UK, Australia, Singapore, or anywhere else in the world — and with the same choices.</w:t>
      </w:r>
    </w:p>
    <w:p>
      <w:pPr>
        <w:spacing w:after="100" w:before="60"/>
      </w:pPr>
      <w:r>
        <w:rPr>
          <w:rFonts w:ascii="Arial" w:cs="Arial" w:eastAsia="Arial" w:hAnsi="Arial"/>
          <w:color w:val="444444"/>
          <w:sz w:val="20"/>
          <w:szCs w:val="20"/>
        </w:rPr>
        <w:t xml:space="preserve">We believe that where you grow up should not limit what you can become. TOWIS exists to make sure it does not.</w:t>
      </w:r>
    </w:p>
    <w:p>
      <w:pPr>
        <w:pStyle w:val="Heading2"/>
        <w:spacing w:after="110" w:before="240"/>
      </w:pPr>
      <w:r>
        <w:rPr>
          <w:rFonts w:ascii="Arial" w:cs="Arial" w:eastAsia="Arial" w:hAnsi="Arial"/>
          <w:b/>
          <w:bCs/>
          <w:color w:val="1B3A6B"/>
          <w:sz w:val="26"/>
          <w:szCs w:val="26"/>
        </w:rPr>
        <w:t xml:space="preserve">Local &amp; Global Perspectives</w:t>
      </w:r>
    </w:p>
    <w:p>
      <w:pPr>
        <w:spacing w:after="100" w:before="60"/>
      </w:pPr>
      <w:r>
        <w:rPr>
          <w:rFonts w:ascii="Arial" w:cs="Arial" w:eastAsia="Arial" w:hAnsi="Arial"/>
          <w:color w:val="444444"/>
          <w:sz w:val="20"/>
          <w:szCs w:val="20"/>
        </w:rPr>
        <w:t xml:space="preserve">The identity of The One World International School reflects both local and global perspectives. International awareness is promoted through the curriculum, co-curricular activities, and community engagement. Students develop respect for local culture and traditions while gaining the knowledge, skills, and values needed to contribute positively to the wider world.</w:t>
      </w:r>
    </w:p>
    <w:p>
      <w:pPr>
        <w:pStyle w:val="Heading2"/>
        <w:spacing w:after="110" w:before="240"/>
      </w:pPr>
      <w:r>
        <w:rPr>
          <w:rFonts w:ascii="Arial" w:cs="Arial" w:eastAsia="Arial" w:hAnsi="Arial"/>
          <w:b/>
          <w:bCs/>
          <w:color w:val="1B3A6B"/>
          <w:sz w:val="26"/>
          <w:szCs w:val="26"/>
        </w:rPr>
        <w:t xml:space="preserve">School Structure</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5053"/>
        <w:gridCol w:w="5053"/>
      </w:tblGrid>
      <w:tr>
        <w:tc>
          <w:tcPr>
            <w:tcW w:type="dxa" w:w="5053"/>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Stage</w:t>
            </w:r>
          </w:p>
        </w:tc>
        <w:tc>
          <w:tcPr>
            <w:tcW w:type="dxa" w:w="5053"/>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Year Groups &amp; Ages</w:t>
            </w:r>
          </w:p>
        </w:tc>
      </w:tr>
      <w:tr>
        <w:tc>
          <w:tcPr>
            <w:tcW w:type="dxa" w:w="50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EYFS (Early Years Foundation Stage)</w:t>
            </w:r>
          </w:p>
        </w:tc>
        <w:tc>
          <w:tcPr>
            <w:tcW w:type="dxa" w:w="50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Nursery &amp; Reception (Ages 3–5)</w:t>
            </w:r>
          </w:p>
        </w:tc>
      </w:tr>
      <w:tr>
        <w:tc>
          <w:tcPr>
            <w:tcW w:type="dxa" w:w="505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Key Stage 1</w:t>
            </w:r>
          </w:p>
        </w:tc>
        <w:tc>
          <w:tcPr>
            <w:tcW w:type="dxa" w:w="505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Years 1–2 (Ages 5–7)</w:t>
            </w:r>
          </w:p>
        </w:tc>
      </w:tr>
      <w:tr>
        <w:tc>
          <w:tcPr>
            <w:tcW w:type="dxa" w:w="50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Key Stage 2</w:t>
            </w:r>
          </w:p>
        </w:tc>
        <w:tc>
          <w:tcPr>
            <w:tcW w:type="dxa" w:w="50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Years 3–6 (Ages 7–11)</w:t>
            </w:r>
          </w:p>
        </w:tc>
      </w:tr>
      <w:tr>
        <w:tc>
          <w:tcPr>
            <w:tcW w:type="dxa" w:w="505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Key Stage 3</w:t>
            </w:r>
          </w:p>
        </w:tc>
        <w:tc>
          <w:tcPr>
            <w:tcW w:type="dxa" w:w="505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Years 7–9 (Ages 11–14)</w:t>
            </w:r>
          </w:p>
        </w:tc>
      </w:tr>
      <w:tr>
        <w:tc>
          <w:tcPr>
            <w:tcW w:type="dxa" w:w="50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Key Stage 4 (IGCSE)</w:t>
            </w:r>
          </w:p>
        </w:tc>
        <w:tc>
          <w:tcPr>
            <w:tcW w:type="dxa" w:w="505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Years 10–11 (Ages 14–16)</w:t>
            </w:r>
          </w:p>
        </w:tc>
      </w:tr>
    </w:tbl>
    <w:p>
      <w:pPr>
        <w:shd w:fill="1B3A6B" w:val="clear"/>
        <w:spacing w:after="0" w:before="0"/>
      </w:pPr>
      <w:r>
        <w:rPr>
          <w:rFonts w:ascii="Arial" w:cs="Arial" w:eastAsia="Arial" w:hAnsi="Arial"/>
          <w:b/>
          <w:bCs/>
          <w:caps/>
          <w:color w:val="FFFFFF"/>
          <w:sz w:val="34"/>
          <w:szCs w:val="34"/>
        </w:rPr>
        <w:t xml:space="preserve">Admissions</w:t>
      </w:r>
    </w:p>
    <w:p>
      <w:pPr>
        <w:spacing w:after="80" w:before="160"/>
      </w:pPr>
    </w:p>
    <w:p>
      <w:pPr>
        <w:pStyle w:val="Heading2"/>
        <w:spacing w:after="110" w:before="240"/>
      </w:pPr>
      <w:r>
        <w:rPr>
          <w:rFonts w:ascii="Arial" w:cs="Arial" w:eastAsia="Arial" w:hAnsi="Arial"/>
          <w:b/>
          <w:bCs/>
          <w:color w:val="1B3A6B"/>
          <w:sz w:val="26"/>
          <w:szCs w:val="26"/>
        </w:rPr>
        <w:t xml:space="preserve">Admissions Philosophy</w:t>
      </w:r>
    </w:p>
    <w:p>
      <w:pPr>
        <w:spacing w:after="100" w:before="60"/>
      </w:pPr>
      <w:r>
        <w:rPr>
          <w:rFonts w:ascii="Arial" w:cs="Arial" w:eastAsia="Arial" w:hAnsi="Arial"/>
          <w:color w:val="444444"/>
          <w:sz w:val="20"/>
          <w:szCs w:val="20"/>
        </w:rPr>
        <w:t xml:space="preserve">TOWIS is an inclusive school that welcomes students from all backgrounds. We are part of The One World Academy and City Academy International — an established learning organisation in Myanmar — and our admissions process reflects our commitment to fairness, transparency, and ensuring every student has the opportunity to access the Cambridge International pathway.</w:t>
      </w:r>
    </w:p>
    <w:p>
      <w:pPr>
        <w:spacing w:after="100" w:before="60"/>
      </w:pPr>
      <w:r>
        <w:rPr>
          <w:rFonts w:ascii="Arial" w:cs="Arial" w:eastAsia="Arial" w:hAnsi="Arial"/>
          <w:color w:val="444444"/>
          <w:sz w:val="20"/>
          <w:szCs w:val="20"/>
        </w:rPr>
        <w:t xml:space="preserve">Our aim is not simply to fill places — it is to identify students who are ready and willing to learn, and to ensure that every family who joins us understands and shares our commitment to the ACE Approach: Academic Excellence, Character Development, and Engagement.</w:t>
      </w:r>
    </w:p>
    <w:p>
      <w:pPr>
        <w:pStyle w:val="Heading2"/>
        <w:spacing w:after="110" w:before="240"/>
      </w:pPr>
      <w:r>
        <w:rPr>
          <w:rFonts w:ascii="Arial" w:cs="Arial" w:eastAsia="Arial" w:hAnsi="Arial"/>
          <w:b/>
          <w:bCs/>
          <w:color w:val="1B3A6B"/>
          <w:sz w:val="26"/>
          <w:szCs w:val="26"/>
        </w:rPr>
        <w:t xml:space="preserve">Entry Requirements</w:t>
      </w:r>
    </w:p>
    <w:p>
      <w:pPr>
        <w:spacing w:after="100" w:before="60"/>
      </w:pPr>
      <w:r>
        <w:rPr>
          <w:rFonts w:ascii="Arial" w:cs="Arial" w:eastAsia="Arial" w:hAnsi="Arial"/>
          <w:color w:val="444444"/>
          <w:sz w:val="20"/>
          <w:szCs w:val="20"/>
        </w:rPr>
        <w:t xml:space="preserve">We carry out entrance assessments to screen academic potential rather than to test curriculum knowledge. However, secondary students also sit curriculum assessments in Mathematics and English to ensure they can meet the rigour of the lower and upper secondary Cambridge International curriculum.</w:t>
      </w:r>
    </w:p>
    <w:p>
      <w:pPr>
        <w:pStyle w:val="Heading3"/>
        <w:spacing w:after="70" w:before="170"/>
      </w:pPr>
      <w:r>
        <w:rPr>
          <w:rFonts w:ascii="Arial" w:cs="Arial" w:eastAsia="Arial" w:hAnsi="Arial"/>
          <w:b/>
          <w:bCs/>
          <w:color w:val="2A7F8F"/>
          <w:sz w:val="22"/>
          <w:szCs w:val="22"/>
        </w:rPr>
        <w:t xml:space="preserve">EYFS</w:t>
      </w:r>
    </w:p>
    <w:p>
      <w:pPr>
        <w:pStyle w:val="ListParagraph"/>
        <w:numPr>
          <w:ilvl w:val="0"/>
          <w:numId w:val="2"/>
        </w:numPr>
        <w:spacing w:after="40" w:before="40"/>
      </w:pPr>
      <w:r>
        <w:rPr>
          <w:rFonts w:ascii="Arial" w:cs="Arial" w:eastAsia="Arial" w:hAnsi="Arial"/>
          <w:color w:val="444444"/>
          <w:sz w:val="20"/>
          <w:szCs w:val="20"/>
        </w:rPr>
        <w:t xml:space="preserve">Minimum age requirements for Nursery and Reception apply.</w:t>
      </w:r>
    </w:p>
    <w:p>
      <w:pPr>
        <w:pStyle w:val="ListParagraph"/>
        <w:numPr>
          <w:ilvl w:val="0"/>
          <w:numId w:val="2"/>
        </w:numPr>
        <w:spacing w:after="40" w:before="40"/>
      </w:pPr>
      <w:r>
        <w:rPr>
          <w:rFonts w:ascii="Arial" w:cs="Arial" w:eastAsia="Arial" w:hAnsi="Arial"/>
          <w:color w:val="444444"/>
          <w:sz w:val="20"/>
          <w:szCs w:val="20"/>
        </w:rPr>
        <w:t xml:space="preserve">Documents required: birth certificate, immunisation records, passport copy.</w:t>
      </w:r>
    </w:p>
    <w:p>
      <w:pPr>
        <w:pStyle w:val="ListParagraph"/>
        <w:numPr>
          <w:ilvl w:val="0"/>
          <w:numId w:val="2"/>
        </w:numPr>
        <w:spacing w:after="40" w:before="40"/>
      </w:pPr>
      <w:r>
        <w:rPr>
          <w:rFonts w:ascii="Arial" w:cs="Arial" w:eastAsia="Arial" w:hAnsi="Arial"/>
          <w:color w:val="444444"/>
          <w:sz w:val="20"/>
          <w:szCs w:val="20"/>
        </w:rPr>
        <w:t xml:space="preserve">An assessment / settling-in visit is arranged.</w:t>
      </w:r>
    </w:p>
    <w:p>
      <w:pPr>
        <w:pStyle w:val="Heading3"/>
        <w:spacing w:after="70" w:before="170"/>
      </w:pPr>
      <w:r>
        <w:rPr>
          <w:rFonts w:ascii="Arial" w:cs="Arial" w:eastAsia="Arial" w:hAnsi="Arial"/>
          <w:b/>
          <w:bCs/>
          <w:color w:val="2A7F8F"/>
          <w:sz w:val="22"/>
          <w:szCs w:val="22"/>
        </w:rPr>
        <w:t xml:space="preserve">Years 1–7</w:t>
      </w:r>
    </w:p>
    <w:p>
      <w:pPr>
        <w:pStyle w:val="ListParagraph"/>
        <w:numPr>
          <w:ilvl w:val="0"/>
          <w:numId w:val="2"/>
        </w:numPr>
        <w:spacing w:after="40" w:before="40"/>
      </w:pPr>
      <w:r>
        <w:rPr>
          <w:rFonts w:ascii="Arial" w:cs="Arial" w:eastAsia="Arial" w:hAnsi="Arial"/>
          <w:color w:val="444444"/>
          <w:sz w:val="20"/>
          <w:szCs w:val="20"/>
        </w:rPr>
        <w:t xml:space="preserve">Verbal Reasoning (adaptive) — 10–15 minutes</w:t>
      </w:r>
    </w:p>
    <w:p>
      <w:pPr>
        <w:pStyle w:val="ListParagraph"/>
        <w:numPr>
          <w:ilvl w:val="0"/>
          <w:numId w:val="2"/>
        </w:numPr>
        <w:spacing w:after="40" w:before="40"/>
      </w:pPr>
      <w:r>
        <w:rPr>
          <w:rFonts w:ascii="Arial" w:cs="Arial" w:eastAsia="Arial" w:hAnsi="Arial"/>
          <w:color w:val="444444"/>
          <w:sz w:val="20"/>
          <w:szCs w:val="20"/>
        </w:rPr>
        <w:t xml:space="preserve">Non-verbal Reasoning (adaptive) — 10–15 minutes</w:t>
      </w:r>
    </w:p>
    <w:p>
      <w:pPr>
        <w:pStyle w:val="ListParagraph"/>
        <w:numPr>
          <w:ilvl w:val="0"/>
          <w:numId w:val="2"/>
        </w:numPr>
        <w:spacing w:after="40" w:before="40"/>
      </w:pPr>
      <w:r>
        <w:rPr>
          <w:rFonts w:ascii="Arial" w:cs="Arial" w:eastAsia="Arial" w:hAnsi="Arial"/>
          <w:color w:val="444444"/>
          <w:sz w:val="20"/>
          <w:szCs w:val="20"/>
        </w:rPr>
        <w:t xml:space="preserve">Previous school reports</w:t>
      </w:r>
    </w:p>
    <w:p>
      <w:pPr>
        <w:pStyle w:val="Heading3"/>
        <w:spacing w:after="70" w:before="170"/>
      </w:pPr>
      <w:r>
        <w:rPr>
          <w:rFonts w:ascii="Arial" w:cs="Arial" w:eastAsia="Arial" w:hAnsi="Arial"/>
          <w:b/>
          <w:bCs/>
          <w:color w:val="2A7F8F"/>
          <w:sz w:val="22"/>
          <w:szCs w:val="22"/>
        </w:rPr>
        <w:t xml:space="preserve">Years 8–11</w:t>
      </w:r>
    </w:p>
    <w:p>
      <w:pPr>
        <w:pStyle w:val="ListParagraph"/>
        <w:numPr>
          <w:ilvl w:val="0"/>
          <w:numId w:val="2"/>
        </w:numPr>
        <w:spacing w:after="40" w:before="40"/>
      </w:pPr>
      <w:r>
        <w:rPr>
          <w:rFonts w:ascii="Arial" w:cs="Arial" w:eastAsia="Arial" w:hAnsi="Arial"/>
          <w:color w:val="444444"/>
          <w:sz w:val="20"/>
          <w:szCs w:val="20"/>
        </w:rPr>
        <w:t xml:space="preserve">English (non-adaptive) — 30 minutes</w:t>
      </w:r>
    </w:p>
    <w:p>
      <w:pPr>
        <w:pStyle w:val="ListParagraph"/>
        <w:numPr>
          <w:ilvl w:val="0"/>
          <w:numId w:val="2"/>
        </w:numPr>
        <w:spacing w:after="40" w:before="40"/>
      </w:pPr>
      <w:r>
        <w:rPr>
          <w:rFonts w:ascii="Arial" w:cs="Arial" w:eastAsia="Arial" w:hAnsi="Arial"/>
          <w:color w:val="444444"/>
          <w:sz w:val="20"/>
          <w:szCs w:val="20"/>
        </w:rPr>
        <w:t xml:space="preserve">Mathematics (adaptive) — 20 minutes</w:t>
      </w:r>
    </w:p>
    <w:p>
      <w:pPr>
        <w:pStyle w:val="ListParagraph"/>
        <w:numPr>
          <w:ilvl w:val="0"/>
          <w:numId w:val="2"/>
        </w:numPr>
        <w:spacing w:after="40" w:before="40"/>
      </w:pPr>
      <w:r>
        <w:rPr>
          <w:rFonts w:ascii="Arial" w:cs="Arial" w:eastAsia="Arial" w:hAnsi="Arial"/>
          <w:color w:val="444444"/>
          <w:sz w:val="20"/>
          <w:szCs w:val="20"/>
        </w:rPr>
        <w:t xml:space="preserve">Verbal Reasoning (adaptive) — 10–15 minutes</w:t>
      </w:r>
    </w:p>
    <w:p>
      <w:pPr>
        <w:pStyle w:val="ListParagraph"/>
        <w:numPr>
          <w:ilvl w:val="0"/>
          <w:numId w:val="2"/>
        </w:numPr>
        <w:spacing w:after="40" w:before="40"/>
      </w:pPr>
      <w:r>
        <w:rPr>
          <w:rFonts w:ascii="Arial" w:cs="Arial" w:eastAsia="Arial" w:hAnsi="Arial"/>
          <w:color w:val="444444"/>
          <w:sz w:val="20"/>
          <w:szCs w:val="20"/>
        </w:rPr>
        <w:t xml:space="preserve">Non-verbal Reasoning (adaptive) — 10–15 minutes</w:t>
      </w:r>
    </w:p>
    <w:p>
      <w:pPr>
        <w:pStyle w:val="ListParagraph"/>
        <w:numPr>
          <w:ilvl w:val="0"/>
          <w:numId w:val="2"/>
        </w:numPr>
        <w:spacing w:after="40" w:before="40"/>
      </w:pPr>
      <w:r>
        <w:rPr>
          <w:rFonts w:ascii="Arial" w:cs="Arial" w:eastAsia="Arial" w:hAnsi="Arial"/>
          <w:color w:val="444444"/>
          <w:sz w:val="20"/>
          <w:szCs w:val="20"/>
        </w:rPr>
        <w:t xml:space="preserve">Previous school reports (last two years)</w:t>
      </w:r>
    </w:p>
    <w:p>
      <w:pPr>
        <w:spacing w:after="100" w:before="60"/>
      </w:pPr>
      <w:r>
        <w:rPr>
          <w:rFonts w:ascii="Arial" w:cs="Arial" w:eastAsia="Arial" w:hAnsi="Arial"/>
          <w:color w:val="444444"/>
          <w:sz w:val="20"/>
          <w:szCs w:val="20"/>
        </w:rPr>
        <w:t xml:space="preserve">The school reserves the right to administer additional assessments based on the enrolment application.</w:t>
      </w:r>
    </w:p>
    <w:p>
      <w:pPr>
        <w:pStyle w:val="Heading2"/>
        <w:spacing w:after="110" w:before="240"/>
      </w:pPr>
      <w:r>
        <w:rPr>
          <w:rFonts w:ascii="Arial" w:cs="Arial" w:eastAsia="Arial" w:hAnsi="Arial"/>
          <w:b/>
          <w:bCs/>
          <w:color w:val="1B3A6B"/>
          <w:sz w:val="26"/>
          <w:szCs w:val="26"/>
        </w:rPr>
        <w:t xml:space="preserve">Application Process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1515"/>
        <w:gridCol w:w="8591"/>
      </w:tblGrid>
      <w:tr>
        <w:tc>
          <w:tcPr>
            <w:tcW w:type="dxa" w:w="1515"/>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Step</w:t>
            </w:r>
          </w:p>
        </w:tc>
        <w:tc>
          <w:tcPr>
            <w:tcW w:type="dxa" w:w="859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Action</w:t>
            </w:r>
          </w:p>
        </w:tc>
      </w:tr>
      <w:tr>
        <w:tc>
          <w:tcPr>
            <w:tcW w:type="dxa" w:w="15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Step 1</w:t>
            </w:r>
          </w:p>
        </w:tc>
        <w:tc>
          <w:tcPr>
            <w:tcW w:type="dxa" w:w="859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Contact the school to register your interest.</w:t>
            </w:r>
          </w:p>
        </w:tc>
      </w:tr>
      <w:tr>
        <w:tc>
          <w:tcPr>
            <w:tcW w:type="dxa" w:w="151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Step 2</w:t>
            </w:r>
          </w:p>
        </w:tc>
        <w:tc>
          <w:tcPr>
            <w:tcW w:type="dxa" w:w="859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Tour the school and meet the Admissions team.</w:t>
            </w:r>
          </w:p>
        </w:tc>
      </w:tr>
      <w:tr>
        <w:tc>
          <w:tcPr>
            <w:tcW w:type="dxa" w:w="15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Step 3</w:t>
            </w:r>
          </w:p>
        </w:tc>
        <w:tc>
          <w:tcPr>
            <w:tcW w:type="dxa" w:w="859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Submit a completed application form with all required documents.</w:t>
            </w:r>
          </w:p>
        </w:tc>
      </w:tr>
      <w:tr>
        <w:tc>
          <w:tcPr>
            <w:tcW w:type="dxa" w:w="151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Step 4</w:t>
            </w:r>
          </w:p>
        </w:tc>
        <w:tc>
          <w:tcPr>
            <w:tcW w:type="dxa" w:w="859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Assessment / entrance test (where applicable).</w:t>
            </w:r>
          </w:p>
        </w:tc>
      </w:tr>
      <w:tr>
        <w:tc>
          <w:tcPr>
            <w:tcW w:type="dxa" w:w="151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Step 5</w:t>
            </w:r>
          </w:p>
        </w:tc>
        <w:tc>
          <w:tcPr>
            <w:tcW w:type="dxa" w:w="859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Receive an offer letter and confirm your place with the registration fee.</w:t>
            </w:r>
          </w:p>
        </w:tc>
      </w:tr>
    </w:tbl>
    <w:p>
      <w:pPr>
        <w:pStyle w:val="Heading2"/>
        <w:spacing w:after="110" w:before="240"/>
      </w:pPr>
      <w:r>
        <w:rPr>
          <w:rFonts w:ascii="Arial" w:cs="Arial" w:eastAsia="Arial" w:hAnsi="Arial"/>
          <w:b/>
          <w:bCs/>
          <w:color w:val="1B3A6B"/>
          <w:sz w:val="26"/>
          <w:szCs w:val="26"/>
        </w:rPr>
        <w:t xml:space="preserve">Fees &amp; Financial Matters</w:t>
      </w:r>
    </w:p>
    <w:p>
      <w:pPr>
        <w:shd w:fill="FFF3CD" w:val="clear"/>
        <w:spacing w:after="80" w:before="80"/>
      </w:pPr>
      <w:r>
        <w:rPr>
          <w:rFonts w:ascii="Arial" w:cs="Arial" w:eastAsia="Arial" w:hAnsi="Arial"/>
          <w:i/>
          <w:iCs/>
          <w:color w:val="856404"/>
          <w:sz w:val="20"/>
          <w:szCs w:val="20"/>
        </w:rPr>
        <w:t xml:space="preserve">⚠ TO COMPLETE: Insert fee schedule by year group, payment terms, accepted payment methods, and sibling discount policy. Reference the separate Fee Schedule document for full details. Contact: finance@towa.edu.mm</w:t>
      </w:r>
    </w:p>
    <w:p>
      <w:pPr>
        <w:pStyle w:val="Heading2"/>
        <w:spacing w:after="110" w:before="240"/>
      </w:pPr>
      <w:r>
        <w:rPr>
          <w:rFonts w:ascii="Arial" w:cs="Arial" w:eastAsia="Arial" w:hAnsi="Arial"/>
          <w:b/>
          <w:bCs/>
          <w:color w:val="1B3A6B"/>
          <w:sz w:val="26"/>
          <w:szCs w:val="26"/>
        </w:rPr>
        <w:t xml:space="preserve">Scholarships &amp; Bursaries</w:t>
      </w:r>
    </w:p>
    <w:p>
      <w:pPr>
        <w:shd w:fill="FFF3CD" w:val="clear"/>
        <w:spacing w:after="80" w:before="80"/>
      </w:pPr>
      <w:r>
        <w:rPr>
          <w:rFonts w:ascii="Arial" w:cs="Arial" w:eastAsia="Arial" w:hAnsi="Arial"/>
          <w:i/>
          <w:iCs/>
          <w:color w:val="856404"/>
          <w:sz w:val="20"/>
          <w:szCs w:val="20"/>
        </w:rPr>
        <w:t xml:space="preserve">⚠ TO COMPLETE: Describe any available scholarship or bursary programmes, eligibility criteria, and application process.</w:t>
      </w:r>
    </w:p>
    <w:p>
      <w:pPr>
        <w:shd w:fill="1B3A6B" w:val="clear"/>
        <w:spacing w:after="0" w:before="0"/>
      </w:pPr>
      <w:r>
        <w:rPr>
          <w:rFonts w:ascii="Arial" w:cs="Arial" w:eastAsia="Arial" w:hAnsi="Arial"/>
          <w:b/>
          <w:bCs/>
          <w:caps/>
          <w:color w:val="FFFFFF"/>
          <w:sz w:val="34"/>
          <w:szCs w:val="34"/>
        </w:rPr>
        <w:t xml:space="preserve">Curriculum &amp; Academic Programme</w:t>
      </w:r>
    </w:p>
    <w:p>
      <w:pPr>
        <w:spacing w:after="80" w:before="160"/>
      </w:pPr>
    </w:p>
    <w:p>
      <w:pPr>
        <w:pStyle w:val="Heading2"/>
        <w:spacing w:after="110" w:before="240"/>
      </w:pPr>
      <w:r>
        <w:rPr>
          <w:rFonts w:ascii="Arial" w:cs="Arial" w:eastAsia="Arial" w:hAnsi="Arial"/>
          <w:b/>
          <w:bCs/>
          <w:color w:val="1B3A6B"/>
          <w:sz w:val="26"/>
          <w:szCs w:val="26"/>
        </w:rPr>
        <w:t xml:space="preserve">Overview</w:t>
      </w:r>
    </w:p>
    <w:p>
      <w:pPr>
        <w:spacing w:after="100" w:before="60"/>
      </w:pPr>
      <w:r>
        <w:rPr>
          <w:rFonts w:ascii="Arial" w:cs="Arial" w:eastAsia="Arial" w:hAnsi="Arial"/>
          <w:color w:val="444444"/>
          <w:sz w:val="20"/>
          <w:szCs w:val="20"/>
        </w:rPr>
        <w:t xml:space="preserve">At TOWIS, our curriculum is built on the Cambridge International Education pathway and the English National Curriculum, supported by local subjects. From EYFS through to IGCSE, we combine academic rigour with a broad, balanced education that develops the whole child. By following the Cambridge pathway from Early Years through to IGCSE, every student learns to world-class international standards at every stage — recognised wherever your child may continue their education in the future.</w:t>
      </w:r>
    </w:p>
    <w:p>
      <w:pPr>
        <w:pStyle w:val="Heading2"/>
        <w:spacing w:after="110" w:before="240"/>
      </w:pPr>
      <w:r>
        <w:rPr>
          <w:rFonts w:ascii="Arial" w:cs="Arial" w:eastAsia="Arial" w:hAnsi="Arial"/>
          <w:b/>
          <w:bCs/>
          <w:color w:val="1B3A6B"/>
          <w:sz w:val="26"/>
          <w:szCs w:val="26"/>
        </w:rPr>
        <w:t xml:space="preserve">The Cambridge International Pathway</w:t>
      </w:r>
    </w:p>
    <w:p>
      <w:pPr>
        <w:spacing w:after="100" w:before="60"/>
      </w:pPr>
      <w:r>
        <w:rPr>
          <w:rFonts w:ascii="Arial" w:cs="Arial" w:eastAsia="Arial" w:hAnsi="Arial"/>
          <w:color w:val="444444"/>
          <w:sz w:val="20"/>
          <w:szCs w:val="20"/>
        </w:rPr>
        <w:t xml:space="preserve">The four key questions that drive Academic Excellence at TOWIS are delivered through the Cambridge International Education framework — developed by the University of Cambridge and recognised by universities and employers in over 160 countries.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2223"/>
        <w:gridCol w:w="2223"/>
        <w:gridCol w:w="2223"/>
        <w:gridCol w:w="3437"/>
      </w:tblGrid>
      <w:tr>
        <w:tc>
          <w:tcPr>
            <w:tcW w:type="dxa" w:w="2223"/>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Stage</w:t>
            </w:r>
          </w:p>
        </w:tc>
        <w:tc>
          <w:tcPr>
            <w:tcW w:type="dxa" w:w="2223"/>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Cambridge Programme</w:t>
            </w:r>
          </w:p>
        </w:tc>
        <w:tc>
          <w:tcPr>
            <w:tcW w:type="dxa" w:w="2223"/>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Key Assessment</w:t>
            </w:r>
          </w:p>
        </w:tc>
        <w:tc>
          <w:tcPr>
            <w:tcW w:type="dxa" w:w="3437"/>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What Students Gain</w:t>
            </w:r>
          </w:p>
        </w:tc>
      </w:tr>
      <w:tr>
        <w:tc>
          <w:tcPr>
            <w:tcW w:type="dxa" w:w="2223"/>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EYFS — Nursery &amp; Reception</w:t>
            </w:r>
          </w:p>
        </w:tc>
        <w:tc>
          <w:tcPr>
            <w:tcW w:type="dxa" w:w="2223"/>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Cambridge Early Years</w:t>
            </w:r>
          </w:p>
        </w:tc>
        <w:tc>
          <w:tcPr>
            <w:tcW w:type="dxa" w:w="2223"/>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Early Learning Goals</w:t>
            </w:r>
          </w:p>
        </w:tc>
        <w:tc>
          <w:tcPr>
            <w:tcW w:type="dxa" w:w="3437"/>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Strong foundation in language, play, curiosity, early literacy and numeracy.</w:t>
            </w:r>
          </w:p>
        </w:tc>
      </w:tr>
      <w:tr>
        <w:tc>
          <w:tcPr>
            <w:tcW w:type="dxa" w:w="2223"/>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KS1 &amp; KS2 — Years 1–6</w:t>
            </w:r>
          </w:p>
        </w:tc>
        <w:tc>
          <w:tcPr>
            <w:tcW w:type="dxa" w:w="2223"/>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Cambridge Primary</w:t>
            </w:r>
          </w:p>
        </w:tc>
        <w:tc>
          <w:tcPr>
            <w:tcW w:type="dxa" w:w="2223"/>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Cambridge Primary Checkpoint (Year 6)</w:t>
            </w:r>
          </w:p>
        </w:tc>
        <w:tc>
          <w:tcPr>
            <w:tcW w:type="dxa" w:w="3437"/>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Core knowledge in English, Maths and Science alongside Humanities, Computing, Art, Music, PE and Global Perspectives.</w:t>
            </w:r>
          </w:p>
        </w:tc>
      </w:tr>
      <w:tr>
        <w:tc>
          <w:tcPr>
            <w:tcW w:type="dxa" w:w="2223"/>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KS3 — Years 7–9</w:t>
            </w:r>
          </w:p>
        </w:tc>
        <w:tc>
          <w:tcPr>
            <w:tcW w:type="dxa" w:w="2223"/>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Cambridge Lower Secondary</w:t>
            </w:r>
          </w:p>
        </w:tc>
        <w:tc>
          <w:tcPr>
            <w:tcW w:type="dxa" w:w="2223"/>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Lower Secondary Checkpoint (Year 9)</w:t>
            </w:r>
          </w:p>
        </w:tc>
        <w:tc>
          <w:tcPr>
            <w:tcW w:type="dxa" w:w="3437"/>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Deeper subject knowledge, critical thinking and independent learning — preparing for IGCSE.</w:t>
            </w:r>
          </w:p>
        </w:tc>
      </w:tr>
      <w:tr>
        <w:tc>
          <w:tcPr>
            <w:tcW w:type="dxa" w:w="2223"/>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KS4 — Years 10–11</w:t>
            </w:r>
          </w:p>
        </w:tc>
        <w:tc>
          <w:tcPr>
            <w:tcW w:type="dxa" w:w="2223"/>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Cambridge IGCSE</w:t>
            </w:r>
          </w:p>
        </w:tc>
        <w:tc>
          <w:tcPr>
            <w:tcW w:type="dxa" w:w="2223"/>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IGCSE Examinations (Year 11)</w:t>
            </w:r>
          </w:p>
        </w:tc>
        <w:tc>
          <w:tcPr>
            <w:tcW w:type="dxa" w:w="3437"/>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Internationally recognised qualifications accepted by universities worldwide.</w:t>
            </w:r>
          </w:p>
        </w:tc>
      </w:tr>
      <w:tr>
        <w:tc>
          <w:tcPr>
            <w:tcW w:type="dxa" w:w="2223"/>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KS5 — Years 12–13 (Coming soon)</w:t>
            </w:r>
          </w:p>
        </w:tc>
        <w:tc>
          <w:tcPr>
            <w:tcW w:type="dxa" w:w="2223"/>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Cambridge A Levels</w:t>
            </w:r>
          </w:p>
        </w:tc>
        <w:tc>
          <w:tcPr>
            <w:tcW w:type="dxa" w:w="2223"/>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AS &amp; A Level Examinations</w:t>
            </w:r>
          </w:p>
        </w:tc>
        <w:tc>
          <w:tcPr>
            <w:tcW w:type="dxa" w:w="3437"/>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The gold standard for university entry worldwide. (Future plans at TOWIS.)</w:t>
            </w:r>
          </w:p>
        </w:tc>
      </w:tr>
    </w:tbl>
    <w:p>
      <w:pPr>
        <w:spacing w:after="80" w:before="40"/>
      </w:pPr>
    </w:p>
    <w:p>
      <w:pPr>
        <w:spacing w:after="100" w:before="60"/>
      </w:pPr>
      <w:r>
        <w:rPr>
          <w:rFonts w:ascii="Arial" w:cs="Arial" w:eastAsia="Arial" w:hAnsi="Arial"/>
          <w:color w:val="444444"/>
          <w:sz w:val="20"/>
          <w:szCs w:val="20"/>
        </w:rPr>
        <w:t xml:space="preserve">Learn more: www.cambridgeinternational.org/programmes-and-qualifications</w:t>
      </w:r>
    </w:p>
    <w:p>
      <w:pPr>
        <w:pStyle w:val="Heading2"/>
        <w:spacing w:after="110" w:before="240"/>
      </w:pPr>
      <w:r>
        <w:rPr>
          <w:rFonts w:ascii="Arial" w:cs="Arial" w:eastAsia="Arial" w:hAnsi="Arial"/>
          <w:b/>
          <w:bCs/>
          <w:color w:val="1B3A6B"/>
          <w:sz w:val="26"/>
          <w:szCs w:val="26"/>
        </w:rPr>
        <w:t xml:space="preserve">EYFS (Nursery &amp; Reception)</w:t>
      </w:r>
    </w:p>
    <w:p>
      <w:pPr>
        <w:spacing w:after="100" w:before="60"/>
      </w:pPr>
      <w:r>
        <w:rPr>
          <w:rFonts w:ascii="Arial" w:cs="Arial" w:eastAsia="Arial" w:hAnsi="Arial"/>
          <w:color w:val="444444"/>
          <w:sz w:val="20"/>
          <w:szCs w:val="20"/>
        </w:rPr>
        <w:t xml:space="preserve">In EYFS, we follow the Cambridge Early Years framework alongside the English Early Years Foundation Stage. Learning is built around seven areas of development through structured play, exploration, and guided activities in a language-rich, nurturing environment. Progress is measured through observation and the Early Learning Goals at the end of Reception.</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6569"/>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Area</w:t>
            </w:r>
          </w:p>
        </w:tc>
        <w:tc>
          <w:tcPr>
            <w:tcW w:type="dxa" w:w="656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Focus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Communication &amp; Language</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Speaking, listening, and understanding through stories, songs, discussion, and play.</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Physical Development</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Fine and gross motor skills, coordination, and healthy habits through indoor and outdoor activity.</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Personal, Social &amp; Emotional Development</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Building confidence, forming relationships, managing feelings, and developing independence.</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Literacy</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Early reading through Cambridge Phonics, mark-making, early writing, and a love of books.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Mathematics</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Number, shape, space, and measure through games, practical activities, and exploration.</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Understanding the World</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Science, geography, history, and technology introduced through discovery and observation.</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Expressive Arts &amp; Design</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Creativity through art, music, dance, role play, and design activities.</w:t>
            </w:r>
          </w:p>
        </w:tc>
      </w:tr>
    </w:tbl>
    <w:p>
      <w:pPr>
        <w:pStyle w:val="Heading2"/>
        <w:spacing w:after="110" w:before="240"/>
      </w:pPr>
      <w:r>
        <w:rPr>
          <w:rFonts w:ascii="Arial" w:cs="Arial" w:eastAsia="Arial" w:hAnsi="Arial"/>
          <w:b/>
          <w:bCs/>
          <w:color w:val="1B3A6B"/>
          <w:sz w:val="26"/>
          <w:szCs w:val="26"/>
        </w:rPr>
        <w:t xml:space="preserve">Primary (Key Stages 1 &amp; 2)</w:t>
      </w:r>
    </w:p>
    <w:p>
      <w:pPr>
        <w:spacing w:after="100" w:before="60"/>
      </w:pPr>
      <w:r>
        <w:rPr>
          <w:rFonts w:ascii="Arial" w:cs="Arial" w:eastAsia="Arial" w:hAnsi="Arial"/>
          <w:color w:val="444444"/>
          <w:sz w:val="20"/>
          <w:szCs w:val="20"/>
        </w:rPr>
        <w:t xml:space="preserve">Primary follows the Cambridge Primary framework alongside the English National Curriculum, covering a broad and balanced programme that develops academic skills, creativity, and character.</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6569"/>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Subject Area</w:t>
            </w:r>
          </w:p>
        </w:tc>
        <w:tc>
          <w:tcPr>
            <w:tcW w:type="dxa" w:w="656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Subjects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Core subjects</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English (First Language), Mathematics, Science</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Humanities</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History, Geography, Global Perspectives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Creative subjects</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Art &amp; Design, Music</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Technology &amp; Computing</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ICT / Computing, Design &amp; Technology</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Physical Education</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PE — developing physical skills, teamwork, and healthy habits</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Languages</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Myanmar Language (all students), Chinese (Modern Foreign Language)</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Personal Development</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PSHE — Personal, Social, Health and Economic education</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Assessment milestone</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Cambridge Primary Checkpoint at the end of Year 6</w:t>
            </w:r>
          </w:p>
        </w:tc>
      </w:tr>
    </w:tbl>
    <w:p>
      <w:pPr>
        <w:pStyle w:val="Heading2"/>
        <w:spacing w:after="110" w:before="240"/>
      </w:pPr>
      <w:r>
        <w:rPr>
          <w:rFonts w:ascii="Arial" w:cs="Arial" w:eastAsia="Arial" w:hAnsi="Arial"/>
          <w:b/>
          <w:bCs/>
          <w:color w:val="1B3A6B"/>
          <w:sz w:val="26"/>
          <w:szCs w:val="26"/>
        </w:rPr>
        <w:t xml:space="preserve">Secondary (Key Stage 3, Years 7–9)</w:t>
      </w:r>
    </w:p>
    <w:p>
      <w:pPr>
        <w:spacing w:after="100" w:before="60"/>
      </w:pPr>
      <w:r>
        <w:rPr>
          <w:rFonts w:ascii="Arial" w:cs="Arial" w:eastAsia="Arial" w:hAnsi="Arial"/>
          <w:color w:val="444444"/>
          <w:sz w:val="20"/>
          <w:szCs w:val="20"/>
        </w:rPr>
        <w:t xml:space="preserve">Key Stage 3 follows the Cambridge Lower Secondary framework, broadening and deepening the knowledge, skills, and understanding developed in Primary while building the examination skills needed for IGCSE success.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6569"/>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Subject Area</w:t>
            </w:r>
          </w:p>
        </w:tc>
        <w:tc>
          <w:tcPr>
            <w:tcW w:type="dxa" w:w="656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Subjects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Core subjects</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English First Language (0500) or Second Language (0510), Mathematics (0580), Co-ordinated Science (0654)</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Humanities &amp; Global Perspectives</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History, Geography, Social Studies, Global Perspectives (1129)</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Creative &amp; Physical</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Art, Music, PE</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Technology</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ICT</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Languages</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Myanmar Language, Chinese</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Assessment milestone</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Cambridge Lower Secondary Checkpoint at the end of Year 9</w:t>
            </w:r>
          </w:p>
        </w:tc>
      </w:tr>
    </w:tbl>
    <w:p>
      <w:pPr>
        <w:pStyle w:val="Heading2"/>
        <w:spacing w:after="110" w:before="240"/>
      </w:pPr>
      <w:r>
        <w:rPr>
          <w:rFonts w:ascii="Arial" w:cs="Arial" w:eastAsia="Arial" w:hAnsi="Arial"/>
          <w:b/>
          <w:bCs/>
          <w:color w:val="1B3A6B"/>
          <w:sz w:val="26"/>
          <w:szCs w:val="26"/>
        </w:rPr>
        <w:t xml:space="preserve">IGCSE (Years 10–11)</w:t>
      </w:r>
    </w:p>
    <w:p>
      <w:pPr>
        <w:spacing w:after="100" w:before="60"/>
      </w:pPr>
      <w:r>
        <w:rPr>
          <w:rFonts w:ascii="Arial" w:cs="Arial" w:eastAsia="Arial" w:hAnsi="Arial"/>
          <w:color w:val="444444"/>
          <w:sz w:val="20"/>
          <w:szCs w:val="20"/>
        </w:rPr>
        <w:t xml:space="preserve">Years 10 and 11 follow the Cambridge IGCSE programme — one of the most respected qualifications in the world, recognised by universities and employers in over 160 countries. External examinations are sat in May/June of Year 11.</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6569"/>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Subject</w:t>
            </w:r>
          </w:p>
        </w:tc>
        <w:tc>
          <w:tcPr>
            <w:tcW w:type="dxa" w:w="656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Details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English</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Cambridge IGCSE English First Language (0500) or English Second Language (0510)</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Mathematics</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Cambridge IGCSE Mathematics (0580)</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Science</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Cambridge IGCSE Co-ordinated Sciences (Double Award) (0654)</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Business &amp; Economics</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Cambridge IGCSE Business Studies and Economics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ICT</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Cambridge IGCSE Computing</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Creative</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Art, Music</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Languages</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Myanmar Language, Chinese</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Physical Education</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PE</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External Exams</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Cambridge International — May/June examination series, Year 11</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IGCSE Mock Exams</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End of Quarter 3 (March) — full mock examination series</w:t>
            </w:r>
          </w:p>
        </w:tc>
      </w:tr>
    </w:tbl>
    <w:p>
      <w:pPr>
        <w:spacing w:after="100" w:before="60"/>
      </w:pPr>
      <w:r>
        <w:rPr>
          <w:rFonts w:ascii="Arial" w:cs="Arial" w:eastAsia="Arial" w:hAnsi="Arial"/>
          <w:color w:val="444444"/>
          <w:sz w:val="20"/>
          <w:szCs w:val="20"/>
        </w:rPr>
        <w:t xml:space="preserve">Entry to Year 11 is only considered for students who have completed Year 10 IGCSE courses, normally at another Cambridge school. IGCSE results are accepted by institutions worldwide including in the UK, USA, Australia, Europe, and Southeast Asia.</w:t>
      </w:r>
    </w:p>
    <w:p>
      <w:pPr>
        <w:pStyle w:val="Heading2"/>
        <w:spacing w:after="110" w:before="240"/>
      </w:pPr>
      <w:r>
        <w:rPr>
          <w:rFonts w:ascii="Arial" w:cs="Arial" w:eastAsia="Arial" w:hAnsi="Arial"/>
          <w:b/>
          <w:bCs/>
          <w:color w:val="1B3A6B"/>
          <w:sz w:val="26"/>
          <w:szCs w:val="26"/>
        </w:rPr>
        <w:t xml:space="preserve">English as an Additional Language (EAL)</w:t>
      </w:r>
    </w:p>
    <w:p>
      <w:pPr>
        <w:spacing w:after="100" w:before="60"/>
      </w:pPr>
      <w:r>
        <w:rPr>
          <w:rFonts w:ascii="Arial" w:cs="Arial" w:eastAsia="Arial" w:hAnsi="Arial"/>
          <w:color w:val="444444"/>
          <w:sz w:val="20"/>
          <w:szCs w:val="20"/>
        </w:rPr>
        <w:t xml:space="preserve">TOWIS welcomes students from diverse linguistic backgrounds. For students whose first language is not English, we provide EAL support to ensure they can access the full Cambridge curriculum with confidence.</w:t>
      </w:r>
    </w:p>
    <w:p>
      <w:pPr>
        <w:pStyle w:val="ListParagraph"/>
        <w:numPr>
          <w:ilvl w:val="0"/>
          <w:numId w:val="2"/>
        </w:numPr>
        <w:spacing w:after="40" w:before="40"/>
      </w:pPr>
      <w:r>
        <w:rPr>
          <w:rFonts w:ascii="Arial" w:cs="Arial" w:eastAsia="Arial" w:hAnsi="Arial"/>
          <w:color w:val="444444"/>
          <w:sz w:val="20"/>
          <w:szCs w:val="20"/>
        </w:rPr>
        <w:t xml:space="preserve">All new students whose first language is not English sit an English language assessment as part of the admissions process.</w:t>
      </w:r>
    </w:p>
    <w:p>
      <w:pPr>
        <w:pStyle w:val="ListParagraph"/>
        <w:numPr>
          <w:ilvl w:val="0"/>
          <w:numId w:val="2"/>
        </w:numPr>
        <w:spacing w:after="40" w:before="40"/>
      </w:pPr>
      <w:r>
        <w:rPr>
          <w:rFonts w:ascii="Arial" w:cs="Arial" w:eastAsia="Arial" w:hAnsi="Arial"/>
          <w:color w:val="444444"/>
          <w:sz w:val="20"/>
          <w:szCs w:val="20"/>
        </w:rPr>
        <w:t xml:space="preserve">Students requiring support are placed in the EAL programme and receive both in-class support and, where appropriate, additional small-group sessions.</w:t>
      </w:r>
    </w:p>
    <w:p>
      <w:pPr>
        <w:pStyle w:val="ListParagraph"/>
        <w:numPr>
          <w:ilvl w:val="0"/>
          <w:numId w:val="2"/>
        </w:numPr>
        <w:spacing w:after="40" w:before="40"/>
      </w:pPr>
      <w:r>
        <w:rPr>
          <w:rFonts w:ascii="Arial" w:cs="Arial" w:eastAsia="Arial" w:hAnsi="Arial"/>
          <w:color w:val="444444"/>
          <w:sz w:val="20"/>
          <w:szCs w:val="20"/>
        </w:rPr>
        <w:t xml:space="preserve">Progress is monitored termly using the GL NGRT Reading Assessment until the student reaches Stanine 5 — the expected standard.</w:t>
      </w:r>
    </w:p>
    <w:p>
      <w:pPr>
        <w:pStyle w:val="ListParagraph"/>
        <w:numPr>
          <w:ilvl w:val="0"/>
          <w:numId w:val="2"/>
        </w:numPr>
        <w:spacing w:after="40" w:before="40"/>
      </w:pPr>
      <w:r>
        <w:rPr>
          <w:rFonts w:ascii="Arial" w:cs="Arial" w:eastAsia="Arial" w:hAnsi="Arial"/>
          <w:color w:val="444444"/>
          <w:sz w:val="20"/>
          <w:szCs w:val="20"/>
        </w:rPr>
        <w:t xml:space="preserve">All teachers at TOWIS are teachers of language. Language development is embedded across every subject.</w:t>
      </w:r>
    </w:p>
    <w:p>
      <w:pPr>
        <w:pStyle w:val="ListParagraph"/>
        <w:numPr>
          <w:ilvl w:val="0"/>
          <w:numId w:val="2"/>
        </w:numPr>
        <w:spacing w:after="40" w:before="40"/>
      </w:pPr>
      <w:r>
        <w:rPr>
          <w:rFonts w:ascii="Arial" w:cs="Arial" w:eastAsia="Arial" w:hAnsi="Arial"/>
          <w:color w:val="444444"/>
          <w:sz w:val="20"/>
          <w:szCs w:val="20"/>
        </w:rPr>
        <w:t xml:space="preserve">Parents are kept informed of EAL progress through the quarterly Progress Report and Parent–Teacher–Student Conferences.</w:t>
      </w:r>
    </w:p>
    <w:p>
      <w:pPr>
        <w:pStyle w:val="Heading2"/>
        <w:spacing w:after="110" w:before="240"/>
      </w:pPr>
      <w:r>
        <w:rPr>
          <w:rFonts w:ascii="Arial" w:cs="Arial" w:eastAsia="Arial" w:hAnsi="Arial"/>
          <w:b/>
          <w:bCs/>
          <w:color w:val="1B3A6B"/>
          <w:sz w:val="26"/>
          <w:szCs w:val="26"/>
        </w:rPr>
        <w:t xml:space="preserve">Languages of Instruction</w:t>
      </w:r>
    </w:p>
    <w:p>
      <w:pPr>
        <w:spacing w:after="100" w:before="60"/>
      </w:pPr>
      <w:r>
        <w:rPr>
          <w:rFonts w:ascii="Arial" w:cs="Arial" w:eastAsia="Arial" w:hAnsi="Arial"/>
          <w:color w:val="444444"/>
          <w:sz w:val="20"/>
          <w:szCs w:val="20"/>
        </w:rPr>
        <w:t xml:space="preserve">English is the main language of instruction at TOWIS. Students also benefit from a rich multilingual programme that supports cultural identity, cognitive development, and global opportunity.</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031"/>
        <w:gridCol w:w="7075"/>
      </w:tblGrid>
      <w:tr>
        <w:tc>
          <w:tcPr>
            <w:tcW w:type="dxa" w:w="303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Language</w:t>
            </w:r>
          </w:p>
        </w:tc>
        <w:tc>
          <w:tcPr>
            <w:tcW w:type="dxa" w:w="7075"/>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Role at TOWIS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English</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The primary language of instruction across all subjects and year groups, from EYFS to IGCSE.</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Myanmar</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Taught as a subject to all students from Early Years through to Year 11. Supports cultural identity and national participation.</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Chinese (Mandarin)</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Taught as a Modern Foreign Language in Primary and Lower Secondary, supporting cognitive development and cultural understanding.</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EAL Support</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Students developing English proficiency are assessed on entry and supported in-class and, where needed, through additional provision.</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School Communications</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school communications and documentation are provided in both English and Myanmar to support the whole community.</w:t>
            </w:r>
          </w:p>
        </w:tc>
      </w:tr>
    </w:tbl>
    <w:p>
      <w:pPr>
        <w:pStyle w:val="Heading2"/>
        <w:spacing w:after="110" w:before="240"/>
      </w:pPr>
      <w:r>
        <w:rPr>
          <w:rFonts w:ascii="Arial" w:cs="Arial" w:eastAsia="Arial" w:hAnsi="Arial"/>
          <w:b/>
          <w:bCs/>
          <w:color w:val="1B3A6B"/>
          <w:sz w:val="26"/>
          <w:szCs w:val="26"/>
        </w:rPr>
        <w:t xml:space="preserve">Assessment &amp; Reporting</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4042"/>
        <w:gridCol w:w="6064"/>
      </w:tblGrid>
      <w:tr>
        <w:tc>
          <w:tcPr>
            <w:tcW w:type="dxa" w:w="4042"/>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Assessment Type</w:t>
            </w:r>
          </w:p>
        </w:tc>
        <w:tc>
          <w:tcPr>
            <w:tcW w:type="dxa" w:w="6064"/>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Details</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Formative Assessments</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Ongoing teacher assessment, classwork, and homework</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Summative Examinations</w:t>
            </w:r>
          </w:p>
        </w:tc>
        <w:tc>
          <w:tcPr>
            <w:tcW w:type="dxa" w:w="606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End-of-quarter examinations; standardised assessments three times per year</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Written Reports</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Four written reports per year (end of each quarter)</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Parent–Teacher–Student Conferences</w:t>
            </w:r>
          </w:p>
        </w:tc>
        <w:tc>
          <w:tcPr>
            <w:tcW w:type="dxa" w:w="606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Four per year, plus open-door policy</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IGCSE Examinations</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External examinations in May/June (Year 11)</w:t>
            </w:r>
          </w:p>
        </w:tc>
      </w:tr>
    </w:tbl>
    <w:p>
      <w:pPr>
        <w:pStyle w:val="Heading2"/>
        <w:spacing w:after="110" w:before="240"/>
      </w:pPr>
      <w:r>
        <w:rPr>
          <w:rFonts w:ascii="Arial" w:cs="Arial" w:eastAsia="Arial" w:hAnsi="Arial"/>
          <w:b/>
          <w:bCs/>
          <w:color w:val="1B3A6B"/>
          <w:sz w:val="26"/>
          <w:szCs w:val="26"/>
        </w:rPr>
        <w:t xml:space="preserve">Homework Policy</w:t>
      </w:r>
    </w:p>
    <w:p>
      <w:pPr>
        <w:spacing w:after="100" w:before="60"/>
      </w:pPr>
      <w:r>
        <w:rPr>
          <w:rFonts w:ascii="Arial" w:cs="Arial" w:eastAsia="Arial" w:hAnsi="Arial"/>
          <w:color w:val="444444"/>
          <w:sz w:val="20"/>
          <w:szCs w:val="20"/>
        </w:rPr>
        <w:t xml:space="preserve">At TOWIS, homework should be meaningful, manageable, and completable independently at home. We recognise that not all students have the same conditions at home, so we do not set excessive tasks that create an uneven playing field. All homework set by TOWIS should be completable without a private tutor.</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6569"/>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Stage</w:t>
            </w:r>
          </w:p>
        </w:tc>
        <w:tc>
          <w:tcPr>
            <w:tcW w:type="dxa" w:w="656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Expectations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EYFS &amp; KS1 (Years 1–2)</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No formal written homework. Focus on daily reading with a parent and number activities.</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KS2 (Years 3–6)</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Maximum 30 minutes per evening: daily reading, weekly spelling test preparation, times tables practice, and completing any unfinished classwork.</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KS3 (Years 7–9)</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Maximum 30 minutes per evening: reading to prepare for upcoming lessons (flipped classroom), independent project work, and revision.</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KS4 — IGCSE (Years 10–11)</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Maximum 1 hour per evening. IGCSE revision is an exception — students manage their own revision schedule with teacher guidance.</w:t>
            </w:r>
          </w:p>
        </w:tc>
      </w:tr>
    </w:tbl>
    <w:p>
      <w:pPr>
        <w:pStyle w:val="Heading3"/>
        <w:spacing w:after="70" w:before="170"/>
      </w:pPr>
      <w:r>
        <w:rPr>
          <w:rFonts w:ascii="Arial" w:cs="Arial" w:eastAsia="Arial" w:hAnsi="Arial"/>
          <w:b/>
          <w:bCs/>
          <w:color w:val="2A7F8F"/>
          <w:sz w:val="22"/>
          <w:szCs w:val="22"/>
        </w:rPr>
        <w:t xml:space="preserve">Types of Homework at TOWIS</w:t>
      </w:r>
    </w:p>
    <w:p>
      <w:pPr>
        <w:pStyle w:val="ListParagraph"/>
        <w:numPr>
          <w:ilvl w:val="0"/>
          <w:numId w:val="2"/>
        </w:numPr>
        <w:spacing w:after="40" w:before="40"/>
      </w:pPr>
      <w:r>
        <w:rPr>
          <w:rFonts w:ascii="Arial" w:cs="Arial" w:eastAsia="Arial" w:hAnsi="Arial"/>
          <w:color w:val="444444"/>
          <w:sz w:val="20"/>
          <w:szCs w:val="20"/>
        </w:rPr>
        <w:t xml:space="preserve">Reading at home — daily reading in English and Myanmar is the single most impactful homework habit at every age.</w:t>
      </w:r>
    </w:p>
    <w:p>
      <w:pPr>
        <w:pStyle w:val="ListParagraph"/>
        <w:numPr>
          <w:ilvl w:val="0"/>
          <w:numId w:val="2"/>
        </w:numPr>
        <w:spacing w:after="40" w:before="40"/>
      </w:pPr>
      <w:r>
        <w:rPr>
          <w:rFonts w:ascii="Arial" w:cs="Arial" w:eastAsia="Arial" w:hAnsi="Arial"/>
          <w:color w:val="444444"/>
          <w:sz w:val="20"/>
          <w:szCs w:val="20"/>
        </w:rPr>
        <w:t xml:space="preserve">Weekly spelling and times tables tests — short, focused preparation that builds core skills.</w:t>
      </w:r>
    </w:p>
    <w:p>
      <w:pPr>
        <w:pStyle w:val="ListParagraph"/>
        <w:numPr>
          <w:ilvl w:val="0"/>
          <w:numId w:val="2"/>
        </w:numPr>
        <w:spacing w:after="40" w:before="40"/>
      </w:pPr>
      <w:r>
        <w:rPr>
          <w:rFonts w:ascii="Arial" w:cs="Arial" w:eastAsia="Arial" w:hAnsi="Arial"/>
          <w:color w:val="444444"/>
          <w:sz w:val="20"/>
          <w:szCs w:val="20"/>
        </w:rPr>
        <w:t xml:space="preserve">Completing classwork — occasionally, unfinished work from lessons is completed at home.</w:t>
      </w:r>
    </w:p>
    <w:p>
      <w:pPr>
        <w:pStyle w:val="ListParagraph"/>
        <w:numPr>
          <w:ilvl w:val="0"/>
          <w:numId w:val="2"/>
        </w:numPr>
        <w:spacing w:after="40" w:before="40"/>
      </w:pPr>
      <w:r>
        <w:rPr>
          <w:rFonts w:ascii="Arial" w:cs="Arial" w:eastAsia="Arial" w:hAnsi="Arial"/>
          <w:color w:val="444444"/>
          <w:sz w:val="20"/>
          <w:szCs w:val="20"/>
        </w:rPr>
        <w:t xml:space="preserve">Flipped classroom preparation — particularly in Secondary, reviewing material before a lesson so class time is used for deeper learning.</w:t>
      </w:r>
    </w:p>
    <w:p>
      <w:pPr>
        <w:pStyle w:val="ListParagraph"/>
        <w:numPr>
          <w:ilvl w:val="0"/>
          <w:numId w:val="2"/>
        </w:numPr>
        <w:spacing w:after="40" w:before="40"/>
      </w:pPr>
      <w:r>
        <w:rPr>
          <w:rFonts w:ascii="Arial" w:cs="Arial" w:eastAsia="Arial" w:hAnsi="Arial"/>
          <w:color w:val="444444"/>
          <w:sz w:val="20"/>
          <w:szCs w:val="20"/>
        </w:rPr>
        <w:t xml:space="preserve">Independent projects — extended tasks that develop research, creativity, and self-management skills.</w:t>
      </w:r>
    </w:p>
    <w:p>
      <w:pPr>
        <w:pStyle w:val="ListParagraph"/>
        <w:numPr>
          <w:ilvl w:val="0"/>
          <w:numId w:val="2"/>
        </w:numPr>
        <w:spacing w:after="40" w:before="40"/>
      </w:pPr>
      <w:r>
        <w:rPr>
          <w:rFonts w:ascii="Arial" w:cs="Arial" w:eastAsia="Arial" w:hAnsi="Arial"/>
          <w:color w:val="444444"/>
          <w:sz w:val="20"/>
          <w:szCs w:val="20"/>
        </w:rPr>
        <w:t xml:space="preserve">IGCSE revision — Year 10 and 11 students manage a personal revision schedule, especially before mock and external examinations.</w:t>
      </w:r>
    </w:p>
    <w:p>
      <w:pPr>
        <w:spacing w:after="100" w:before="60"/>
      </w:pPr>
      <w:r>
        <w:rPr>
          <w:rFonts w:ascii="Arial" w:cs="Arial" w:eastAsia="Arial" w:hAnsi="Arial"/>
          <w:color w:val="444444"/>
          <w:sz w:val="20"/>
          <w:szCs w:val="20"/>
        </w:rPr>
        <w:t xml:space="preserve">Homework is shared via ClassDojo or through the subject teacher’s class page. If your child is consistently spending more than the recommended time on homework, please contact their Homeroom Teacher.</w:t>
      </w:r>
    </w:p>
    <w:p>
      <w:pPr>
        <w:pStyle w:val="Heading2"/>
        <w:spacing w:after="110" w:before="240"/>
      </w:pPr>
      <w:r>
        <w:rPr>
          <w:rFonts w:ascii="Arial" w:cs="Arial" w:eastAsia="Arial" w:hAnsi="Arial"/>
          <w:b/>
          <w:bCs/>
          <w:color w:val="1B3A6B"/>
          <w:sz w:val="26"/>
          <w:szCs w:val="26"/>
        </w:rPr>
        <w:t xml:space="preserve">Year Group Information Packs</w:t>
      </w:r>
    </w:p>
    <w:p>
      <w:pPr>
        <w:spacing w:after="100" w:before="60"/>
      </w:pPr>
      <w:r>
        <w:rPr>
          <w:rFonts w:ascii="Arial" w:cs="Arial" w:eastAsia="Arial" w:hAnsi="Arial"/>
          <w:color w:val="444444"/>
          <w:sz w:val="20"/>
          <w:szCs w:val="20"/>
        </w:rPr>
        <w:t xml:space="preserve">Alongside this handbook, every family receives a Year Group Information Pack at the start of each academic year and at the start of every quarter. These packs are sent by your child’s Homeroom Teacher via ClassDojo and are specific to your child’s year group.</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2425"/>
        <w:gridCol w:w="2021"/>
        <w:gridCol w:w="5658"/>
        <w:gridCol w:w="2"/>
      </w:tblGrid>
      <w:tr>
        <w:tc>
          <w:tcPr>
            <w:tcW w:type="dxa" w:w="2425"/>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Document</w:t>
            </w:r>
          </w:p>
        </w:tc>
        <w:tc>
          <w:tcPr>
            <w:tcW w:type="dxa" w:w="2021"/>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When Shared</w:t>
            </w:r>
          </w:p>
        </w:tc>
        <w:tc>
          <w:tcPr>
            <w:tcW w:type="dxa" w:w="5658"/>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What it contains</w:t>
            </w:r>
          </w:p>
        </w:tc>
        <w:tc>
          <w:tcPr>
            <w:tcW w:type="dxa" w:w="2"/>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
            </w:r>
          </w:p>
        </w:tc>
      </w:tr>
      <w:tr>
        <w:tc>
          <w:tcPr>
            <w:tcW w:type="dxa" w:w="2425"/>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Annual Curriculum Overview</w:t>
            </w:r>
          </w:p>
        </w:tc>
        <w:tc>
          <w:tcPr>
            <w:tcW w:type="dxa" w:w="202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Start of academic year</w:t>
            </w:r>
          </w:p>
        </w:tc>
        <w:tc>
          <w:tcPr>
            <w:tcW w:type="dxa" w:w="5658"/>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 full-year summary of every subject: key topics, skills, and major assessment points per term.</w:t>
            </w:r>
          </w:p>
        </w:tc>
        <w:tc>
          <w:tcPr>
            <w:tcW w:type="dxa" w:w="2"/>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
            </w:r>
          </w:p>
        </w:tc>
      </w:tr>
      <w:tr>
        <w:tc>
          <w:tcPr>
            <w:tcW w:type="dxa" w:w="2425"/>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Quarterly Curriculum Plan</w:t>
            </w:r>
          </w:p>
        </w:tc>
        <w:tc>
          <w:tcPr>
            <w:tcW w:type="dxa" w:w="2021"/>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Start of each quarter (x4)</w:t>
            </w:r>
          </w:p>
        </w:tc>
        <w:tc>
          <w:tcPr>
            <w:tcW w:type="dxa" w:w="5658"/>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A detailed breakdown of what your child is learning this quarter in every subject — key vocabulary, topics, projects, and any resources needed at home.</w:t>
            </w:r>
          </w:p>
        </w:tc>
        <w:tc>
          <w:tcPr>
            <w:tcW w:type="dxa" w:w="2"/>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
            </w:r>
          </w:p>
        </w:tc>
      </w:tr>
      <w:tr>
        <w:tc>
          <w:tcPr>
            <w:tcW w:type="dxa" w:w="2425"/>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Textbook &amp; Exercise Book List</w:t>
            </w:r>
          </w:p>
        </w:tc>
        <w:tc>
          <w:tcPr>
            <w:tcW w:type="dxa" w:w="202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Before the start of the year</w:t>
            </w:r>
          </w:p>
        </w:tc>
        <w:tc>
          <w:tcPr>
            <w:tcW w:type="dxa" w:w="5658"/>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A complete list of all required textbooks, workbooks, and exercise books by subject — title, edition, publisher, and where to purchase.</w:t>
            </w:r>
          </w:p>
        </w:tc>
        <w:tc>
          <w:tcPr>
            <w:tcW w:type="dxa" w:w="2"/>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
            </w:r>
          </w:p>
        </w:tc>
      </w:tr>
      <w:tr>
        <w:tc>
          <w:tcPr>
            <w:tcW w:type="dxa" w:w="2425"/>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Stationery List</w:t>
            </w:r>
          </w:p>
        </w:tc>
        <w:tc>
          <w:tcPr>
            <w:tcW w:type="dxa" w:w="2021"/>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Before the start of the year</w:t>
            </w:r>
          </w:p>
        </w:tc>
        <w:tc>
          <w:tcPr>
            <w:tcW w:type="dxa" w:w="5658"/>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Everything your child needs to bring and maintain throughout the year, including subject-specific items.</w:t>
            </w:r>
          </w:p>
        </w:tc>
        <w:tc>
          <w:tcPr>
            <w:tcW w:type="dxa" w:w="2"/>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
            </w:r>
          </w:p>
        </w:tc>
      </w:tr>
    </w:tbl>
    <w:p>
      <w:pPr>
        <w:spacing w:after="60" w:before="60"/>
      </w:pPr>
      <w:r>
        <w:rPr>
          <w:rFonts w:ascii="Arial" w:cs="Arial" w:eastAsia="Arial" w:hAnsi="Arial"/>
          <w:i/>
          <w:iCs/>
          <w:color w:val="888888"/>
          <w:sz w:val="18"/>
          <w:szCs w:val="18"/>
        </w:rPr>
        <w:t xml:space="preserve">All documents are sent via ClassDojo by your child’s Homeroom Teacher — the front person for all year group communication. If you have a question about a curriculum plan, book list, or upcoming activity, contact your Homeroom Teacher first.</w:t>
      </w:r>
    </w:p>
    <w:p>
      <w:pPr>
        <w:shd w:fill="1B3A6B" w:val="clear"/>
        <w:spacing w:after="0" w:before="0"/>
      </w:pPr>
      <w:r>
        <w:rPr>
          <w:rFonts w:ascii="Arial" w:cs="Arial" w:eastAsia="Arial" w:hAnsi="Arial"/>
          <w:b/>
          <w:bCs/>
          <w:caps/>
          <w:color w:val="FFFFFF"/>
          <w:sz w:val="34"/>
          <w:szCs w:val="34"/>
        </w:rPr>
        <w:t xml:space="preserve">School Life</w:t>
      </w:r>
    </w:p>
    <w:p>
      <w:pPr>
        <w:spacing w:after="80" w:before="160"/>
      </w:pPr>
    </w:p>
    <w:p>
      <w:pPr>
        <w:pStyle w:val="Heading2"/>
        <w:spacing w:after="110" w:before="240"/>
      </w:pPr>
      <w:r>
        <w:rPr>
          <w:rFonts w:ascii="Arial" w:cs="Arial" w:eastAsia="Arial" w:hAnsi="Arial"/>
          <w:b/>
          <w:bCs/>
          <w:color w:val="1B3A6B"/>
          <w:sz w:val="26"/>
          <w:szCs w:val="26"/>
        </w:rPr>
        <w:t xml:space="preserve">The School Day</w:t>
      </w:r>
    </w:p>
    <w:p>
      <w:pPr>
        <w:spacing w:after="100" w:before="60"/>
      </w:pPr>
      <w:r>
        <w:rPr>
          <w:rFonts w:ascii="Arial" w:cs="Arial" w:eastAsia="Arial" w:hAnsi="Arial"/>
          <w:color w:val="444444"/>
          <w:sz w:val="20"/>
          <w:szCs w:val="20"/>
        </w:rPr>
        <w:t xml:space="preserve">The school day is structured to maximise learning time and establish positive daily routines. Punctuality is not just a school rule — it is a life skill, and one we take seriously at TOWIS.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2021"/>
        <w:gridCol w:w="8085"/>
      </w:tblGrid>
      <w:tr>
        <w:tc>
          <w:tcPr>
            <w:tcW w:type="dxa" w:w="202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Time</w:t>
            </w:r>
          </w:p>
        </w:tc>
        <w:tc>
          <w:tcPr>
            <w:tcW w:type="dxa" w:w="8085"/>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Activity</w:t>
            </w:r>
          </w:p>
        </w:tc>
      </w:tr>
      <w:tr>
        <w:tc>
          <w:tcPr>
            <w:tcW w:type="dxa" w:w="202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8:00 AM</w:t>
            </w:r>
          </w:p>
        </w:tc>
        <w:tc>
          <w:tcPr>
            <w:tcW w:type="dxa" w:w="80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Gates open. Students may be dropped off from this time.</w:t>
            </w:r>
          </w:p>
        </w:tc>
      </w:tr>
      <w:tr>
        <w:tc>
          <w:tcPr>
            <w:tcW w:type="dxa" w:w="202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8:20 AM</w:t>
            </w:r>
          </w:p>
        </w:tc>
        <w:tc>
          <w:tcPr>
            <w:tcW w:type="dxa" w:w="808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Registration. All students must be seated in their Homeroom for the National Anthem.</w:t>
            </w:r>
          </w:p>
        </w:tc>
      </w:tr>
      <w:tr>
        <w:tc>
          <w:tcPr>
            <w:tcW w:type="dxa" w:w="202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8:30 AM</w:t>
            </w:r>
          </w:p>
        </w:tc>
        <w:tc>
          <w:tcPr>
            <w:tcW w:type="dxa" w:w="80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First lesson begins.</w:t>
            </w:r>
          </w:p>
        </w:tc>
      </w:tr>
      <w:tr>
        <w:tc>
          <w:tcPr>
            <w:tcW w:type="dxa" w:w="202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3:00 PM</w:t>
            </w:r>
          </w:p>
        </w:tc>
        <w:tc>
          <w:tcPr>
            <w:tcW w:type="dxa" w:w="808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End of school / student pick-up.</w:t>
            </w:r>
          </w:p>
        </w:tc>
      </w:tr>
      <w:tr>
        <w:tc>
          <w:tcPr>
            <w:tcW w:type="dxa" w:w="202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3:10 – 3:50 PM</w:t>
            </w:r>
          </w:p>
        </w:tc>
        <w:tc>
          <w:tcPr>
            <w:tcW w:type="dxa" w:w="80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After-school activities.</w:t>
            </w:r>
          </w:p>
        </w:tc>
      </w:tr>
    </w:tbl>
    <w:p>
      <w:pPr>
        <w:spacing w:after="100" w:before="60"/>
      </w:pPr>
      <w:r>
        <w:rPr>
          <w:rFonts w:ascii="Arial" w:cs="Arial" w:eastAsia="Arial" w:hAnsi="Arial"/>
          <w:color w:val="444444"/>
          <w:sz w:val="20"/>
          <w:szCs w:val="20"/>
        </w:rPr>
        <w:t xml:space="preserve">Any student not seated in their Homeroom by 8:20 AM will be recorded as late.</w:t>
      </w:r>
    </w:p>
    <w:p>
      <w:pPr>
        <w:pStyle w:val="Heading2"/>
        <w:spacing w:after="110" w:before="240"/>
      </w:pPr>
      <w:r>
        <w:rPr>
          <w:rFonts w:ascii="Arial" w:cs="Arial" w:eastAsia="Arial" w:hAnsi="Arial"/>
          <w:b/>
          <w:bCs/>
          <w:color w:val="1B3A6B"/>
          <w:sz w:val="26"/>
          <w:szCs w:val="26"/>
        </w:rPr>
        <w:t xml:space="preserve">Attendance &amp; Punctuality</w:t>
      </w:r>
    </w:p>
    <w:p>
      <w:pPr>
        <w:spacing w:after="100" w:before="60"/>
      </w:pPr>
      <w:r>
        <w:rPr>
          <w:rFonts w:ascii="Arial" w:cs="Arial" w:eastAsia="Arial" w:hAnsi="Arial"/>
          <w:color w:val="444444"/>
          <w:sz w:val="20"/>
          <w:szCs w:val="20"/>
        </w:rPr>
        <w:t xml:space="preserve">Regular attendance and punctuality sit at the heart of all three ACE pillars. A student who is absent or late misses lessons, disrupts their own learning rhythm, and can fall behind quickly. The minimum expected attendance is 92%.</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2526"/>
        <w:gridCol w:w="7580"/>
      </w:tblGrid>
      <w:tr>
        <w:tc>
          <w:tcPr>
            <w:tcW w:type="dxa" w:w="2526"/>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Band</w:t>
            </w:r>
          </w:p>
        </w:tc>
        <w:tc>
          <w:tcPr>
            <w:tcW w:type="dxa" w:w="7580"/>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Attendance &amp; Meaning</w:t>
            </w:r>
          </w:p>
        </w:tc>
      </w:tr>
      <w:tr>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 — Space Blue</w:t>
            </w:r>
          </w:p>
        </w:tc>
        <w:tc>
          <w:tcPr>
            <w:tcW w:type="dxa" w:w="7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Well above 95% — Exceptional commitment. Present, on time, and fully engaged.</w:t>
            </w:r>
          </w:p>
        </w:tc>
      </w:tr>
      <w:tr>
        <w:tc>
          <w:tcPr>
            <w:tcW w:type="dxa" w:w="252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B — Sky Blue</w:t>
            </w:r>
          </w:p>
        </w:tc>
        <w:tc>
          <w:tcPr>
            <w:tcW w:type="dxa" w:w="75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Above 95% — Excellent attendance. Very few absences.</w:t>
            </w:r>
          </w:p>
        </w:tc>
      </w:tr>
      <w:tr>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 — Green</w:t>
            </w:r>
          </w:p>
        </w:tc>
        <w:tc>
          <w:tcPr>
            <w:tcW w:type="dxa" w:w="7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92%–95% — Good and on track. Minimum expected standard.</w:t>
            </w:r>
          </w:p>
        </w:tc>
      </w:tr>
      <w:tr>
        <w:tc>
          <w:tcPr>
            <w:tcW w:type="dxa" w:w="252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 — Amber</w:t>
            </w:r>
          </w:p>
        </w:tc>
        <w:tc>
          <w:tcPr>
            <w:tcW w:type="dxa" w:w="75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85%–91% — Pay attention. School contacts parents. Support plan implemented.</w:t>
            </w:r>
          </w:p>
        </w:tc>
      </w:tr>
      <w:tr>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 — Red</w:t>
            </w:r>
          </w:p>
        </w:tc>
        <w:tc>
          <w:tcPr>
            <w:tcW w:type="dxa" w:w="7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Below 85% — Immediate action required. Persistent absence seriously damages progress and may be referred to relevant authorities.</w:t>
            </w:r>
          </w:p>
        </w:tc>
      </w:tr>
    </w:tbl>
    <w:p>
      <w:pPr>
        <w:spacing w:after="100" w:before="60"/>
      </w:pPr>
      <w:r>
        <w:rPr>
          <w:rFonts w:ascii="Arial" w:cs="Arial" w:eastAsia="Arial" w:hAnsi="Arial"/>
          <w:color w:val="444444"/>
          <w:sz w:val="20"/>
          <w:szCs w:val="20"/>
        </w:rPr>
        <w:t xml:space="preserve">Attendance is reported on every quarterly Progress Report using the same A–E band system as academic and character grades. It is a core measure of Engagement — one of the three pillars of ACE.</w:t>
      </w:r>
    </w:p>
    <w:p>
      <w:pPr>
        <w:pStyle w:val="Heading2"/>
        <w:spacing w:after="110" w:before="240"/>
      </w:pPr>
      <w:r>
        <w:rPr>
          <w:rFonts w:ascii="Arial" w:cs="Arial" w:eastAsia="Arial" w:hAnsi="Arial"/>
          <w:b/>
          <w:bCs/>
          <w:color w:val="1B3A6B"/>
          <w:sz w:val="26"/>
          <w:szCs w:val="26"/>
        </w:rPr>
        <w:t xml:space="preserve">Reporting an Absence</w:t>
      </w:r>
    </w:p>
    <w:p>
      <w:pPr>
        <w:spacing w:after="100" w:before="60"/>
      </w:pPr>
      <w:r>
        <w:rPr>
          <w:rFonts w:ascii="Arial" w:cs="Arial" w:eastAsia="Arial" w:hAnsi="Arial"/>
          <w:color w:val="444444"/>
          <w:sz w:val="20"/>
          <w:szCs w:val="20"/>
        </w:rPr>
        <w:t xml:space="preserve">If your child is unable to attend school, please inform us before 8:20 AM on the day of absence by:</w:t>
      </w:r>
    </w:p>
    <w:p>
      <w:pPr>
        <w:pStyle w:val="ListParagraph"/>
        <w:numPr>
          <w:ilvl w:val="0"/>
          <w:numId w:val="2"/>
        </w:numPr>
        <w:spacing w:after="40" w:before="40"/>
      </w:pPr>
      <w:r>
        <w:rPr>
          <w:rFonts w:ascii="Arial" w:cs="Arial" w:eastAsia="Arial" w:hAnsi="Arial"/>
          <w:color w:val="444444"/>
          <w:sz w:val="20"/>
          <w:szCs w:val="20"/>
        </w:rPr>
        <w:t xml:space="preserve">Sending a ClassDojo Direct Message to your child’s Homeroom Teacher, or</w:t>
      </w:r>
    </w:p>
    <w:p>
      <w:pPr>
        <w:pStyle w:val="ListParagraph"/>
        <w:numPr>
          <w:ilvl w:val="0"/>
          <w:numId w:val="2"/>
        </w:numPr>
        <w:spacing w:after="40" w:before="40"/>
      </w:pPr>
      <w:r>
        <w:rPr>
          <w:rFonts w:ascii="Arial" w:cs="Arial" w:eastAsia="Arial" w:hAnsi="Arial"/>
          <w:color w:val="444444"/>
          <w:sz w:val="20"/>
          <w:szCs w:val="20"/>
        </w:rPr>
        <w:t xml:space="preserve">Calling Reception on +95 9 45063 4402.</w:t>
      </w:r>
    </w:p>
    <w:p>
      <w:pPr>
        <w:spacing w:after="100" w:before="60"/>
      </w:pPr>
      <w:r>
        <w:rPr>
          <w:rFonts w:ascii="Arial" w:cs="Arial" w:eastAsia="Arial" w:hAnsi="Arial"/>
          <w:color w:val="444444"/>
          <w:sz w:val="20"/>
          <w:szCs w:val="20"/>
        </w:rPr>
        <w:t xml:space="preserve">Please give the reason for absence. Unexplained absences will be followed up on the same morning. Upon return, a note or message confirming the reason for absence is required.</w:t>
      </w:r>
    </w:p>
    <w:p>
      <w:pPr>
        <w:pStyle w:val="Heading2"/>
        <w:spacing w:after="110" w:before="240"/>
      </w:pPr>
      <w:r>
        <w:rPr>
          <w:rFonts w:ascii="Arial" w:cs="Arial" w:eastAsia="Arial" w:hAnsi="Arial"/>
          <w:b/>
          <w:bCs/>
          <w:color w:val="1B3A6B"/>
          <w:sz w:val="26"/>
          <w:szCs w:val="26"/>
        </w:rPr>
        <w:t xml:space="preserve">Holidays During Term Time</w:t>
      </w:r>
    </w:p>
    <w:p>
      <w:pPr>
        <w:spacing w:after="100" w:before="60"/>
      </w:pPr>
      <w:r>
        <w:rPr>
          <w:rFonts w:ascii="Arial" w:cs="Arial" w:eastAsia="Arial" w:hAnsi="Arial"/>
          <w:color w:val="444444"/>
          <w:sz w:val="20"/>
          <w:szCs w:val="20"/>
        </w:rPr>
        <w:t xml:space="preserve">We strongly discourage family holidays during term time. Learning is continuous and cumulative — days missed cannot simply be caught up. Requests for term-time absence must be submitted in writing to the Principal in advance and will only be authorised in exceptional circumstances. Unauthorised absences will be recorded accordingly and may affect your child’s Engagement grade.</w:t>
      </w:r>
    </w:p>
    <w:p>
      <w:pPr>
        <w:pStyle w:val="Heading2"/>
        <w:spacing w:after="110" w:before="240"/>
      </w:pPr>
      <w:r>
        <w:rPr>
          <w:rFonts w:ascii="Arial" w:cs="Arial" w:eastAsia="Arial" w:hAnsi="Arial"/>
          <w:b/>
          <w:bCs/>
          <w:color w:val="1B3A6B"/>
          <w:sz w:val="26"/>
          <w:szCs w:val="26"/>
        </w:rPr>
        <w:t xml:space="preserve">School Uniform</w:t>
      </w:r>
    </w:p>
    <w:p>
      <w:pPr>
        <w:spacing w:after="100" w:before="60"/>
      </w:pPr>
      <w:r>
        <w:rPr>
          <w:rFonts w:ascii="Arial" w:cs="Arial" w:eastAsia="Arial" w:hAnsi="Arial"/>
          <w:color w:val="444444"/>
          <w:sz w:val="20"/>
          <w:szCs w:val="20"/>
        </w:rPr>
        <w:t xml:space="preserve">Our uniform represents who we are as a community — a visible symbol of belonging, equality, and pride. Every student, from Nursery through to Year 11, is expected to wear the full school uniform every day. Our uniform is deliberately simple: easy to maintain, affordable, and practical for a full day of learning.</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031"/>
        <w:gridCol w:w="7075"/>
      </w:tblGrid>
      <w:tr>
        <w:tc>
          <w:tcPr>
            <w:tcW w:type="dxa" w:w="303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Item</w:t>
            </w:r>
          </w:p>
        </w:tc>
        <w:tc>
          <w:tcPr>
            <w:tcW w:type="dxa" w:w="7075"/>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Details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Trousers / Skirt</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Navy blue. Smart and well-fitted. No jeans, joggers, or leggings.</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Polo Shirt</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Official TOWIS polo shirt with school logo.</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Hoody / Sweatshirt</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Official TOWIS school hoody with logo. The only additional layer permitted.</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Footwear</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Plain-coloured trainers. No bold logos, patterns, or bright multi-coloured designs.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Bucket Hat</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Official TOWIS bucket hat with logo. Recommended for outdoor activities.</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PE Kit — Standard</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School PE shorts and branded PE top.</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PE Kit — House</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House-branded shirt and shorts — worn for House competitions, Sports Day, and ACE Days.</w:t>
            </w:r>
          </w:p>
        </w:tc>
      </w:tr>
    </w:tbl>
    <w:p>
      <w:pPr>
        <w:pStyle w:val="Heading3"/>
        <w:spacing w:after="70" w:before="170"/>
      </w:pPr>
      <w:r>
        <w:rPr>
          <w:rFonts w:ascii="Arial" w:cs="Arial" w:eastAsia="Arial" w:hAnsi="Arial"/>
          <w:b/>
          <w:bCs/>
          <w:color w:val="2A7F8F"/>
          <w:sz w:val="22"/>
          <w:szCs w:val="22"/>
        </w:rPr>
        <w:t xml:space="preserve">General Uniform Expectations</w:t>
      </w:r>
    </w:p>
    <w:p>
      <w:pPr>
        <w:pStyle w:val="ListParagraph"/>
        <w:numPr>
          <w:ilvl w:val="0"/>
          <w:numId w:val="2"/>
        </w:numPr>
        <w:spacing w:after="40" w:before="40"/>
      </w:pPr>
      <w:r>
        <w:rPr>
          <w:rFonts w:ascii="Arial" w:cs="Arial" w:eastAsia="Arial" w:hAnsi="Arial"/>
          <w:color w:val="444444"/>
          <w:sz w:val="20"/>
          <w:szCs w:val="20"/>
        </w:rPr>
        <w:t xml:space="preserve">The full uniform must be worn every day, from arrival on site to departure.</w:t>
      </w:r>
    </w:p>
    <w:p>
      <w:pPr>
        <w:pStyle w:val="ListParagraph"/>
        <w:numPr>
          <w:ilvl w:val="0"/>
          <w:numId w:val="2"/>
        </w:numPr>
        <w:spacing w:after="40" w:before="40"/>
      </w:pPr>
      <w:r>
        <w:rPr>
          <w:rFonts w:ascii="Arial" w:cs="Arial" w:eastAsia="Arial" w:hAnsi="Arial"/>
          <w:color w:val="444444"/>
          <w:sz w:val="20"/>
          <w:szCs w:val="20"/>
        </w:rPr>
        <w:t xml:space="preserve">Uniform must be clean, ironed, and in good repair. Torn or heavily worn items should be replaced promptly.</w:t>
      </w:r>
    </w:p>
    <w:p>
      <w:pPr>
        <w:pStyle w:val="ListParagraph"/>
        <w:numPr>
          <w:ilvl w:val="0"/>
          <w:numId w:val="2"/>
        </w:numPr>
        <w:spacing w:after="40" w:before="40"/>
      </w:pPr>
      <w:r>
        <w:rPr>
          <w:rFonts w:ascii="Arial" w:cs="Arial" w:eastAsia="Arial" w:hAnsi="Arial"/>
          <w:color w:val="444444"/>
          <w:sz w:val="20"/>
          <w:szCs w:val="20"/>
        </w:rPr>
        <w:t xml:space="preserve">All items of clothing must be clearly labelled with your child’s name.</w:t>
      </w:r>
    </w:p>
    <w:p>
      <w:pPr>
        <w:pStyle w:val="ListParagraph"/>
        <w:numPr>
          <w:ilvl w:val="0"/>
          <w:numId w:val="2"/>
        </w:numPr>
        <w:spacing w:after="40" w:before="40"/>
      </w:pPr>
      <w:r>
        <w:rPr>
          <w:rFonts w:ascii="Arial" w:cs="Arial" w:eastAsia="Arial" w:hAnsi="Arial"/>
          <w:color w:val="444444"/>
          <w:sz w:val="20"/>
          <w:szCs w:val="20"/>
        </w:rPr>
        <w:t xml:space="preserve">On non-uniform days or special event days, students will be notified in advance via ClassDojo.</w:t>
      </w:r>
    </w:p>
    <w:p>
      <w:pPr>
        <w:pStyle w:val="Heading3"/>
        <w:spacing w:after="70" w:before="170"/>
      </w:pPr>
      <w:r>
        <w:rPr>
          <w:rFonts w:ascii="Arial" w:cs="Arial" w:eastAsia="Arial" w:hAnsi="Arial"/>
          <w:b/>
          <w:bCs/>
          <w:color w:val="2A7F8F"/>
          <w:sz w:val="22"/>
          <w:szCs w:val="22"/>
        </w:rPr>
        <w:t xml:space="preserve">Hair, Jewellery &amp; Appearance</w:t>
      </w:r>
    </w:p>
    <w:p>
      <w:pPr>
        <w:pStyle w:val="ListParagraph"/>
        <w:numPr>
          <w:ilvl w:val="0"/>
          <w:numId w:val="2"/>
        </w:numPr>
        <w:spacing w:after="40" w:before="40"/>
      </w:pPr>
      <w:r>
        <w:rPr>
          <w:rFonts w:ascii="Arial" w:cs="Arial" w:eastAsia="Arial" w:hAnsi="Arial"/>
          <w:color w:val="444444"/>
          <w:sz w:val="20"/>
          <w:szCs w:val="20"/>
        </w:rPr>
        <w:t xml:space="preserve">Hair should be neat and tidy. Long hair must be tied back during practical lessons and PE.</w:t>
      </w:r>
    </w:p>
    <w:p>
      <w:pPr>
        <w:pStyle w:val="ListParagraph"/>
        <w:numPr>
          <w:ilvl w:val="0"/>
          <w:numId w:val="2"/>
        </w:numPr>
        <w:spacing w:after="40" w:before="40"/>
      </w:pPr>
      <w:r>
        <w:rPr>
          <w:rFonts w:ascii="Arial" w:cs="Arial" w:eastAsia="Arial" w:hAnsi="Arial"/>
          <w:color w:val="444444"/>
          <w:sz w:val="20"/>
          <w:szCs w:val="20"/>
        </w:rPr>
        <w:t xml:space="preserve">Small stud earrings are permitted. Large or dangly jewellery is not permitted for safety reasons.</w:t>
      </w:r>
    </w:p>
    <w:p>
      <w:pPr>
        <w:pStyle w:val="ListParagraph"/>
        <w:numPr>
          <w:ilvl w:val="0"/>
          <w:numId w:val="2"/>
        </w:numPr>
        <w:spacing w:after="40" w:before="40"/>
      </w:pPr>
      <w:r>
        <w:rPr>
          <w:rFonts w:ascii="Arial" w:cs="Arial" w:eastAsia="Arial" w:hAnsi="Arial"/>
          <w:color w:val="444444"/>
          <w:sz w:val="20"/>
          <w:szCs w:val="20"/>
        </w:rPr>
        <w:t xml:space="preserve">Nail polish, excessive make-up, and fashion accessories are not permitted.</w:t>
      </w:r>
    </w:p>
    <w:p>
      <w:pPr>
        <w:pStyle w:val="Heading3"/>
        <w:spacing w:after="70" w:before="170"/>
      </w:pPr>
      <w:r>
        <w:rPr>
          <w:rFonts w:ascii="Arial" w:cs="Arial" w:eastAsia="Arial" w:hAnsi="Arial"/>
          <w:b/>
          <w:bCs/>
          <w:color w:val="2A7F8F"/>
          <w:sz w:val="22"/>
          <w:szCs w:val="22"/>
        </w:rPr>
        <w:t xml:space="preserve">Uniform Infringements</w:t>
      </w:r>
    </w:p>
    <w:p>
      <w:pPr>
        <w:spacing w:after="100" w:before="60"/>
      </w:pPr>
      <w:r>
        <w:rPr>
          <w:rFonts w:ascii="Arial" w:cs="Arial" w:eastAsia="Arial" w:hAnsi="Arial"/>
          <w:color w:val="444444"/>
          <w:sz w:val="20"/>
          <w:szCs w:val="20"/>
        </w:rPr>
        <w:t xml:space="preserve">Arriving out of uniform — without prior communication from a parent — will be recorded as an Amber behaviour infringement on ClassDojo. Persistent uniform issues will be escalated in line with the school’s behaviour policy. If there is a genuine reason a student cannot wear uniform on a particular day, please contact the school via ClassDojo in advance.</w:t>
      </w:r>
    </w:p>
    <w:p>
      <w:pPr>
        <w:pStyle w:val="Heading3"/>
        <w:spacing w:after="70" w:before="170"/>
      </w:pPr>
      <w:r>
        <w:rPr>
          <w:rFonts w:ascii="Arial" w:cs="Arial" w:eastAsia="Arial" w:hAnsi="Arial"/>
          <w:b/>
          <w:bCs/>
          <w:color w:val="2A7F8F"/>
          <w:sz w:val="22"/>
          <w:szCs w:val="22"/>
        </w:rPr>
        <w:t xml:space="preserve">Purchasing Uniform</w:t>
      </w:r>
    </w:p>
    <w:p>
      <w:pPr>
        <w:spacing w:after="100" w:before="60"/>
      </w:pPr>
      <w:r>
        <w:rPr>
          <w:rFonts w:ascii="Arial" w:cs="Arial" w:eastAsia="Arial" w:hAnsi="Arial"/>
          <w:color w:val="444444"/>
          <w:sz w:val="20"/>
          <w:szCs w:val="20"/>
        </w:rPr>
        <w:t xml:space="preserve">All uniform items are available to purchase directly from the school. A full price list is available at the Reception desk. Please ask Ms. Nway Nway Myint Han (Receptionist) for details.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233"/>
        <w:gridCol w:w="6873"/>
      </w:tblGrid>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Where to buy</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All items available in school. Visit Reception for the current price list and to place an order.</w:t>
            </w:r>
          </w:p>
        </w:tc>
      </w:tr>
      <w:tr>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B3A6B"/>
                <w:sz w:val="18"/>
                <w:szCs w:val="18"/>
              </w:rPr>
              <w:t xml:space="preserve">Contact</w:t>
            </w:r>
          </w:p>
        </w:tc>
        <w:tc>
          <w:tcPr>
            <w:tcW w:type="dxa" w:w="6873"/>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color w:val="444444"/>
                <w:sz w:val="18"/>
                <w:szCs w:val="18"/>
              </w:rPr>
              <w:t xml:space="preserve">receptionist@towa.edu.mm  |  +95 9 45063 4402</w:t>
            </w:r>
          </w:p>
        </w:tc>
      </w:tr>
    </w:tbl>
    <w:p>
      <w:pPr>
        <w:pStyle w:val="Heading2"/>
        <w:spacing w:after="110" w:before="240"/>
      </w:pPr>
      <w:r>
        <w:rPr>
          <w:rFonts w:ascii="Arial" w:cs="Arial" w:eastAsia="Arial" w:hAnsi="Arial"/>
          <w:b/>
          <w:bCs/>
          <w:color w:val="1B3A6B"/>
          <w:sz w:val="26"/>
          <w:szCs w:val="26"/>
        </w:rPr>
        <w:t xml:space="preserve">Engagement Beyond the Classroom</w:t>
      </w:r>
    </w:p>
    <w:p>
      <w:pPr>
        <w:spacing w:after="100" w:before="60"/>
      </w:pPr>
      <w:r>
        <w:rPr>
          <w:rFonts w:ascii="Arial" w:cs="Arial" w:eastAsia="Arial" w:hAnsi="Arial"/>
          <w:color w:val="444444"/>
          <w:sz w:val="20"/>
          <w:szCs w:val="20"/>
        </w:rPr>
        <w:t xml:space="preserve">Engagement is one of the three pillars of the ACE Approach — and at TOWIS it extends far beyond the traditional classroom. Our extra-curricular and enrichment programme is built around five core strands: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031"/>
        <w:gridCol w:w="7075"/>
      </w:tblGrid>
      <w:tr>
        <w:tc>
          <w:tcPr>
            <w:tcW w:type="dxa" w:w="303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Strand</w:t>
            </w:r>
          </w:p>
        </w:tc>
        <w:tc>
          <w:tcPr>
            <w:tcW w:type="dxa" w:w="7075"/>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Examples at TOWIS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New Skills &amp; Learning</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After-school clubs, Robotics workshops, STEM Fair, Chess, Spelling Bee, Times Tables challenges, World Book Day</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Physical &amp; Mental Wellbeing</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Sports Day, House sports challenges (football, frisbee, table tennis), after-school sports clubs, mindfulness activities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Charity &amp; Citizenship</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Sonne charity stationery drives; Community Marketplace with proceeds to Sonne; community service projects</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Global Awareness &amp; Culture</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Myanmar Cultural Events, World Book Day, Christmas events, Art Exhibition, Global Perspectives projects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Adventurous Activities</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Field trips (all year groups), overseas educational visit (Secondary), outdoor challenges and team-building</w:t>
            </w:r>
          </w:p>
        </w:tc>
      </w:tr>
    </w:tbl>
    <w:p>
      <w:pPr>
        <w:pStyle w:val="Heading2"/>
        <w:spacing w:after="110" w:before="240"/>
      </w:pPr>
      <w:r>
        <w:rPr>
          <w:rFonts w:ascii="Arial" w:cs="Arial" w:eastAsia="Arial" w:hAnsi="Arial"/>
          <w:b/>
          <w:bCs/>
          <w:color w:val="1B3A6B"/>
          <w:sz w:val="26"/>
          <w:szCs w:val="26"/>
        </w:rPr>
        <w:t xml:space="preserve">After-School Clubs</w:t>
      </w:r>
    </w:p>
    <w:p>
      <w:pPr>
        <w:spacing w:after="100" w:before="60"/>
      </w:pPr>
      <w:r>
        <w:rPr>
          <w:rFonts w:ascii="Arial" w:cs="Arial" w:eastAsia="Arial" w:hAnsi="Arial"/>
          <w:color w:val="444444"/>
          <w:sz w:val="20"/>
          <w:szCs w:val="20"/>
        </w:rPr>
        <w:t xml:space="preserve">Every teacher at TOWIS offers an after-school club once per week, covering a wide range of interests — sport, creative arts, academic enrichment, technology, languages, and more. The full club timetable is shared at the start of each term via ClassDojo.</w:t>
      </w:r>
    </w:p>
    <w:p>
      <w:pPr>
        <w:pStyle w:val="ListParagraph"/>
        <w:numPr>
          <w:ilvl w:val="0"/>
          <w:numId w:val="2"/>
        </w:numPr>
        <w:spacing w:after="40" w:before="40"/>
      </w:pPr>
      <w:r>
        <w:rPr>
          <w:rFonts w:ascii="Arial" w:cs="Arial" w:eastAsia="Arial" w:hAnsi="Arial"/>
          <w:color w:val="444444"/>
          <w:sz w:val="20"/>
          <w:szCs w:val="20"/>
        </w:rPr>
        <w:t xml:space="preserve">Clubs are open to all students across relevant year groups.</w:t>
      </w:r>
    </w:p>
    <w:p>
      <w:pPr>
        <w:pStyle w:val="ListParagraph"/>
        <w:numPr>
          <w:ilvl w:val="0"/>
          <w:numId w:val="2"/>
        </w:numPr>
        <w:spacing w:after="40" w:before="40"/>
      </w:pPr>
      <w:r>
        <w:rPr>
          <w:rFonts w:ascii="Arial" w:cs="Arial" w:eastAsia="Arial" w:hAnsi="Arial"/>
          <w:color w:val="444444"/>
          <w:sz w:val="20"/>
          <w:szCs w:val="20"/>
        </w:rPr>
        <w:t xml:space="preserve">Parents and students choose their preferred club by completing a simple Google Form sent by the Homeroom Teacher.</w:t>
      </w:r>
    </w:p>
    <w:p>
      <w:pPr>
        <w:pStyle w:val="ListParagraph"/>
        <w:numPr>
          <w:ilvl w:val="0"/>
          <w:numId w:val="2"/>
        </w:numPr>
        <w:spacing w:after="40" w:before="40"/>
      </w:pPr>
      <w:r>
        <w:rPr>
          <w:rFonts w:ascii="Arial" w:cs="Arial" w:eastAsia="Arial" w:hAnsi="Arial"/>
          <w:color w:val="444444"/>
          <w:sz w:val="20"/>
          <w:szCs w:val="20"/>
        </w:rPr>
        <w:t xml:space="preserve">Places in popular clubs are allocated on a first-come, first-served basis — please respond promptly.</w:t>
      </w:r>
    </w:p>
    <w:p>
      <w:pPr>
        <w:pStyle w:val="ListParagraph"/>
        <w:numPr>
          <w:ilvl w:val="0"/>
          <w:numId w:val="2"/>
        </w:numPr>
        <w:spacing w:after="40" w:before="40"/>
      </w:pPr>
      <w:r>
        <w:rPr>
          <w:rFonts w:ascii="Arial" w:cs="Arial" w:eastAsia="Arial" w:hAnsi="Arial"/>
          <w:color w:val="444444"/>
          <w:sz w:val="20"/>
          <w:szCs w:val="20"/>
        </w:rPr>
        <w:t xml:space="preserve">Students are encouraged to try different clubs across the year to discover new interests.</w:t>
      </w:r>
    </w:p>
    <w:p>
      <w:pPr>
        <w:pStyle w:val="ListParagraph"/>
        <w:numPr>
          <w:ilvl w:val="0"/>
          <w:numId w:val="2"/>
        </w:numPr>
        <w:spacing w:after="40" w:before="40"/>
      </w:pPr>
      <w:r>
        <w:rPr>
          <w:rFonts w:ascii="Arial" w:cs="Arial" w:eastAsia="Arial" w:hAnsi="Arial"/>
          <w:color w:val="444444"/>
          <w:sz w:val="20"/>
          <w:szCs w:val="20"/>
        </w:rPr>
        <w:t xml:space="preserve">Participation in clubs contributes to a student’s Engagement ACE band.</w:t>
      </w:r>
    </w:p>
    <w:p>
      <w:pPr>
        <w:pStyle w:val="Heading2"/>
        <w:spacing w:after="110" w:before="240"/>
      </w:pPr>
      <w:r>
        <w:rPr>
          <w:rFonts w:ascii="Arial" w:cs="Arial" w:eastAsia="Arial" w:hAnsi="Arial"/>
          <w:b/>
          <w:bCs/>
          <w:color w:val="1B3A6B"/>
          <w:sz w:val="26"/>
          <w:szCs w:val="26"/>
        </w:rPr>
        <w:t xml:space="preserve">The House System</w:t>
      </w:r>
    </w:p>
    <w:p>
      <w:pPr>
        <w:spacing w:after="100" w:before="60"/>
      </w:pPr>
      <w:r>
        <w:rPr>
          <w:rFonts w:ascii="Arial" w:cs="Arial" w:eastAsia="Arial" w:hAnsi="Arial"/>
          <w:color w:val="444444"/>
          <w:sz w:val="20"/>
          <w:szCs w:val="20"/>
        </w:rPr>
        <w:t xml:space="preserve">Every student at TOWIS belongs to one of four Houses. Houses run throughout the year, with students earning points through academic achievement, behaviour, attendance, sporting competitions, and whole-school events. The four houses are named after endangered species — reflecting TOWIS’s commitment to global awareness and environmental responsibility. The house colours represent the colours of the Myanmar flag.</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4042"/>
        <w:gridCol w:w="6064"/>
      </w:tblGrid>
      <w:tr>
        <w:tc>
          <w:tcPr>
            <w:tcW w:type="dxa" w:w="4042"/>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House</w:t>
            </w:r>
          </w:p>
        </w:tc>
        <w:tc>
          <w:tcPr>
            <w:tcW w:type="dxa" w:w="6064"/>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Symbol</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Red Tigers</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Endangered species — Red</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Green Rhinos</w:t>
            </w:r>
          </w:p>
        </w:tc>
        <w:tc>
          <w:tcPr>
            <w:tcW w:type="dxa" w:w="606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Endangered species — Green</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White Elephants</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Endangered species — White</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Yellow Pandas</w:t>
            </w:r>
          </w:p>
        </w:tc>
        <w:tc>
          <w:tcPr>
            <w:tcW w:type="dxa" w:w="606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Endangered species — Yellow</w:t>
            </w:r>
          </w:p>
        </w:tc>
      </w:tr>
    </w:tbl>
    <w:p>
      <w:pPr>
        <w:pStyle w:val="Heading3"/>
        <w:spacing w:after="70" w:before="170"/>
      </w:pPr>
      <w:r>
        <w:rPr>
          <w:rFonts w:ascii="Arial" w:cs="Arial" w:eastAsia="Arial" w:hAnsi="Arial"/>
          <w:b/>
          <w:bCs/>
          <w:color w:val="2A7F8F"/>
          <w:sz w:val="22"/>
          <w:szCs w:val="22"/>
        </w:rPr>
        <w:t xml:space="preserve">House Competitions &amp; Points</w:t>
      </w:r>
    </w:p>
    <w:p>
      <w:pPr>
        <w:spacing w:after="100" w:before="60"/>
      </w:pPr>
      <w:r>
        <w:rPr>
          <w:rFonts w:ascii="Arial" w:cs="Arial" w:eastAsia="Arial" w:hAnsi="Arial"/>
          <w:color w:val="444444"/>
          <w:sz w:val="20"/>
          <w:szCs w:val="20"/>
        </w:rPr>
        <w:t xml:space="preserve">Throughout the year, houses compete across a wide range of events. Points are awarded at every competition, building towards the overall House Champion at the end of the year.</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2829"/>
        <w:gridCol w:w="2021"/>
        <w:gridCol w:w="2021"/>
        <w:gridCol w:w="3235"/>
      </w:tblGrid>
      <w:tr>
        <w:tc>
          <w:tcPr>
            <w:tcW w:type="dxa" w:w="2829"/>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Position</w:t>
            </w:r>
          </w:p>
        </w:tc>
        <w:tc>
          <w:tcPr>
            <w:tcW w:type="dxa" w:w="2021"/>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1st</w:t>
            </w:r>
          </w:p>
        </w:tc>
        <w:tc>
          <w:tcPr>
            <w:tcW w:type="dxa" w:w="2021"/>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2nd</w:t>
            </w:r>
          </w:p>
        </w:tc>
        <w:tc>
          <w:tcPr>
            <w:tcW w:type="dxa" w:w="3235"/>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3rd / 4th</w:t>
            </w:r>
          </w:p>
        </w:tc>
      </w:tr>
      <w:tr>
        <w:tc>
          <w:tcPr>
            <w:tcW w:type="dxa" w:w="2829"/>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Points awarded</w:t>
            </w:r>
          </w:p>
        </w:tc>
        <w:tc>
          <w:tcPr>
            <w:tcW w:type="dxa" w:w="202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4 points</w:t>
            </w:r>
          </w:p>
        </w:tc>
        <w:tc>
          <w:tcPr>
            <w:tcW w:type="dxa" w:w="2021"/>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3 points</w:t>
            </w:r>
          </w:p>
        </w:tc>
        <w:tc>
          <w:tcPr>
            <w:tcW w:type="dxa" w:w="3235"/>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2 points / 1 point</w:t>
            </w:r>
          </w:p>
        </w:tc>
      </w:tr>
    </w:tbl>
    <w:p>
      <w:pPr>
        <w:spacing w:after="100" w:before="60"/>
      </w:pPr>
      <w:r>
        <w:rPr>
          <w:rFonts w:ascii="Arial" w:cs="Arial" w:eastAsia="Arial" w:hAnsi="Arial"/>
          <w:color w:val="444444"/>
          <w:sz w:val="20"/>
          <w:szCs w:val="20"/>
        </w:rPr>
        <w:t xml:space="preserve">House points accumulate across Sports Day, football, frisbee, table tennis, chess, spelling competitions, times tables challenges, STEM Fair, quiz events, World Book Day, and all ACE Day activities. Every event counts.</w:t>
      </w:r>
    </w:p>
    <w:p>
      <w:pPr>
        <w:pStyle w:val="Heading2"/>
        <w:spacing w:after="110" w:before="240"/>
      </w:pPr>
      <w:r>
        <w:rPr>
          <w:rFonts w:ascii="Arial" w:cs="Arial" w:eastAsia="Arial" w:hAnsi="Arial"/>
          <w:b/>
          <w:bCs/>
          <w:color w:val="1B3A6B"/>
          <w:sz w:val="26"/>
          <w:szCs w:val="26"/>
        </w:rPr>
        <w:t xml:space="preserve">ACE Day — End of Quarter Celebration</w:t>
      </w:r>
    </w:p>
    <w:p>
      <w:pPr>
        <w:spacing w:after="100" w:before="60"/>
      </w:pPr>
      <w:r>
        <w:rPr>
          <w:rFonts w:ascii="Arial" w:cs="Arial" w:eastAsia="Arial" w:hAnsi="Arial"/>
          <w:color w:val="444444"/>
          <w:sz w:val="20"/>
          <w:szCs w:val="20"/>
        </w:rPr>
        <w:t xml:space="preserve">At the end of every quarter, TOWIS holds an ACE Day. The regular timetable is set aside and the whole school comes together for a day of competition, celebration, and community. An Awards Assembly recognises outstanding achievement across all three ACE pillars, and a Lucky Dip Raffle takes place — the bigger the achievement, the more tickets earned.</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031"/>
        <w:gridCol w:w="3537"/>
        <w:gridCol w:w="3538"/>
      </w:tblGrid>
      <w:tr>
        <w:tc>
          <w:tcPr>
            <w:tcW w:type="dxa" w:w="303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ACE Band</w:t>
            </w:r>
          </w:p>
        </w:tc>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Raffle Tickets (per Pillar)</w:t>
            </w:r>
          </w:p>
        </w:tc>
        <w:tc>
          <w:tcPr>
            <w:tcW w:type="dxa" w:w="3538"/>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Maximum (all three pillars)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 — Space Blue</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3 tickets</w:t>
            </w:r>
          </w:p>
        </w:tc>
        <w:tc>
          <w:tcPr>
            <w:tcW w:type="dxa" w:w="35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9 tickets</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B — Sky Blue</w:t>
            </w:r>
          </w:p>
        </w:tc>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2 tickets</w:t>
            </w:r>
          </w:p>
        </w:tc>
        <w:tc>
          <w:tcPr>
            <w:tcW w:type="dxa" w:w="353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6 tickets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 — Green</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1 ticket</w:t>
            </w:r>
          </w:p>
        </w:tc>
        <w:tc>
          <w:tcPr>
            <w:tcW w:type="dxa" w:w="35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3 tickets</w:t>
            </w:r>
          </w:p>
        </w:tc>
      </w:tr>
    </w:tbl>
    <w:p>
      <w:pPr>
        <w:spacing w:after="100" w:before="60"/>
      </w:pPr>
      <w:r>
        <w:rPr>
          <w:rFonts w:ascii="Arial" w:cs="Arial" w:eastAsia="Arial" w:hAnsi="Arial"/>
          <w:color w:val="444444"/>
          <w:sz w:val="20"/>
          <w:szCs w:val="20"/>
        </w:rPr>
        <w:t xml:space="preserve">Students in Band D or E in a pillar do not receive raffle tickets for that pillar — but they are very much part of the day. ACE Day is always an opportunity to reset, celebrate others, and be inspired for the quarter ahead. ACE Days are held in October, December, March, and June. Parents are warmly invited to the Awards Assembly.</w:t>
      </w:r>
    </w:p>
    <w:p>
      <w:pPr>
        <w:pStyle w:val="Heading2"/>
        <w:spacing w:after="110" w:before="240"/>
      </w:pPr>
      <w:r>
        <w:rPr>
          <w:rFonts w:ascii="Arial" w:cs="Arial" w:eastAsia="Arial" w:hAnsi="Arial"/>
          <w:b/>
          <w:bCs/>
          <w:color w:val="1B3A6B"/>
          <w:sz w:val="26"/>
          <w:szCs w:val="26"/>
        </w:rPr>
        <w:t xml:space="preserve">Trips &amp; Outdoor Education</w:t>
      </w:r>
    </w:p>
    <w:p>
      <w:pPr>
        <w:spacing w:after="100" w:before="60"/>
      </w:pPr>
      <w:r>
        <w:rPr>
          <w:rFonts w:ascii="Arial" w:cs="Arial" w:eastAsia="Arial" w:hAnsi="Arial"/>
          <w:color w:val="444444"/>
          <w:sz w:val="20"/>
          <w:szCs w:val="20"/>
        </w:rPr>
        <w:t xml:space="preserve">Educational visits are an important part of the TOWIS programme. Field trips are organised throughout the year for all year groups, linked to curriculum topics. Secondary students also have the opportunity to join an annual overseas educational visit.</w:t>
      </w:r>
    </w:p>
    <w:p>
      <w:pPr>
        <w:pStyle w:val="ListParagraph"/>
        <w:numPr>
          <w:ilvl w:val="0"/>
          <w:numId w:val="2"/>
        </w:numPr>
        <w:spacing w:after="40" w:before="40"/>
      </w:pPr>
      <w:r>
        <w:rPr>
          <w:rFonts w:ascii="Arial" w:cs="Arial" w:eastAsia="Arial" w:hAnsi="Arial"/>
          <w:color w:val="444444"/>
          <w:sz w:val="20"/>
          <w:szCs w:val="20"/>
        </w:rPr>
        <w:t xml:space="preserve">All trips require a completed consent and medical information form, shared via ClassDojo in advance.</w:t>
      </w:r>
    </w:p>
    <w:p>
      <w:pPr>
        <w:pStyle w:val="ListParagraph"/>
        <w:numPr>
          <w:ilvl w:val="0"/>
          <w:numId w:val="2"/>
        </w:numPr>
        <w:spacing w:after="40" w:before="40"/>
      </w:pPr>
      <w:r>
        <w:rPr>
          <w:rFonts w:ascii="Arial" w:cs="Arial" w:eastAsia="Arial" w:hAnsi="Arial"/>
          <w:color w:val="444444"/>
          <w:sz w:val="20"/>
          <w:szCs w:val="20"/>
        </w:rPr>
        <w:t xml:space="preserve">Costs and requirements for each trip are communicated with as much notice as possible.</w:t>
      </w:r>
    </w:p>
    <w:p>
      <w:pPr>
        <w:pStyle w:val="ListParagraph"/>
        <w:numPr>
          <w:ilvl w:val="0"/>
          <w:numId w:val="2"/>
        </w:numPr>
        <w:spacing w:after="40" w:before="40"/>
      </w:pPr>
      <w:r>
        <w:rPr>
          <w:rFonts w:ascii="Arial" w:cs="Arial" w:eastAsia="Arial" w:hAnsi="Arial"/>
          <w:color w:val="444444"/>
          <w:sz w:val="20"/>
          <w:szCs w:val="20"/>
        </w:rPr>
        <w:t xml:space="preserve">Trips are a privilege. Students whose behaviour or attendance falls below Green may not be eligible to attend.</w:t>
      </w:r>
    </w:p>
    <w:p>
      <w:pPr>
        <w:pStyle w:val="ListParagraph"/>
        <w:numPr>
          <w:ilvl w:val="0"/>
          <w:numId w:val="2"/>
        </w:numPr>
        <w:spacing w:after="40" w:before="40"/>
      </w:pPr>
      <w:r>
        <w:rPr>
          <w:rFonts w:ascii="Arial" w:cs="Arial" w:eastAsia="Arial" w:hAnsi="Arial"/>
          <w:color w:val="444444"/>
          <w:sz w:val="20"/>
          <w:szCs w:val="20"/>
        </w:rPr>
        <w:t xml:space="preserve">Overseas trips for Secondary students are planned and announced at the start of the academic year.</w:t>
      </w:r>
    </w:p>
    <w:p>
      <w:pPr>
        <w:pStyle w:val="Heading2"/>
        <w:spacing w:after="110" w:before="240"/>
      </w:pPr>
      <w:r>
        <w:rPr>
          <w:rFonts w:ascii="Arial" w:cs="Arial" w:eastAsia="Arial" w:hAnsi="Arial"/>
          <w:b/>
          <w:bCs/>
          <w:color w:val="1B3A6B"/>
          <w:sz w:val="26"/>
          <w:szCs w:val="26"/>
        </w:rPr>
        <w:t xml:space="preserve">Pastoral Care &amp; Wellbeing</w:t>
      </w:r>
    </w:p>
    <w:p>
      <w:pPr>
        <w:spacing w:after="100" w:before="60"/>
      </w:pPr>
      <w:r>
        <w:rPr>
          <w:rFonts w:ascii="Arial" w:cs="Arial" w:eastAsia="Arial" w:hAnsi="Arial"/>
          <w:color w:val="444444"/>
          <w:sz w:val="20"/>
          <w:szCs w:val="20"/>
        </w:rPr>
        <w:t xml:space="preserve">At TOWIS, pastoral care is built into the daily life of the school through the Homeroom Teacher system. Every student has a dedicated Homeroom Teacher who is their first point of contact for any academic, personal, or social concern — a mentor, advocate, and trusted adult who knows each student as a whole person.</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6569"/>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Role</w:t>
            </w:r>
          </w:p>
        </w:tc>
        <w:tc>
          <w:tcPr>
            <w:tcW w:type="dxa" w:w="656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Focus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Primary Homeroom Teacher</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Works closely with students and families in a hands-on daily role — both class teacher and pastoral lead. Direct communication with parents is a core part of the role.</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Secondary Homeroom Teacher</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Acts as mentor and guide across a wider range of subject teachers. Focuses on tracking progress, attendance, wellbeing, and supporting personal growth and organisation.</w:t>
            </w:r>
          </w:p>
        </w:tc>
      </w:tr>
    </w:tbl>
    <w:p>
      <w:pPr>
        <w:pStyle w:val="Heading3"/>
        <w:spacing w:after="70" w:before="170"/>
      </w:pPr>
      <w:r>
        <w:rPr>
          <w:rFonts w:ascii="Arial" w:cs="Arial" w:eastAsia="Arial" w:hAnsi="Arial"/>
          <w:b/>
          <w:bCs/>
          <w:color w:val="2A7F8F"/>
          <w:sz w:val="22"/>
          <w:szCs w:val="22"/>
        </w:rPr>
        <w:t xml:space="preserve">Additional Pastoral Support</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4042"/>
        <w:gridCol w:w="6064"/>
      </w:tblGrid>
      <w:tr>
        <w:tc>
          <w:tcPr>
            <w:tcW w:type="dxa" w:w="4042"/>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Name / Role</w:t>
            </w:r>
          </w:p>
        </w:tc>
        <w:tc>
          <w:tcPr>
            <w:tcW w:type="dxa" w:w="6064"/>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Contact</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Mr. Jarlath Madine — Principal</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headmaster@towa.edu.mm  |  Available in person via Reception</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Ms. Theint Ei Phyu — School Nurse</w:t>
            </w:r>
          </w:p>
        </w:tc>
        <w:tc>
          <w:tcPr>
            <w:tcW w:type="dxa" w:w="606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tr.theint.ei.phyu@towa.edu.mm  |  On-site all day</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School Counsellor</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TOWIS does not currently have a dedicated school counsellor. The Principal and Homeroom Teachers provide pastoral support. This provision will be developed as the school grows.</w:t>
            </w:r>
          </w:p>
        </w:tc>
      </w:tr>
    </w:tbl>
    <w:p>
      <w:pPr>
        <w:pStyle w:val="Heading3"/>
        <w:spacing w:after="70" w:before="170"/>
      </w:pPr>
      <w:r>
        <w:rPr>
          <w:rFonts w:ascii="Arial" w:cs="Arial" w:eastAsia="Arial" w:hAnsi="Arial"/>
          <w:b/>
          <w:bCs/>
          <w:color w:val="2A7F8F"/>
          <w:sz w:val="22"/>
          <w:szCs w:val="22"/>
        </w:rPr>
        <w:t xml:space="preserve">PSHE — Personal, Social, Health and Economic Education</w:t>
      </w:r>
    </w:p>
    <w:p>
      <w:pPr>
        <w:spacing w:after="100" w:before="60"/>
      </w:pPr>
      <w:r>
        <w:rPr>
          <w:rFonts w:ascii="Arial" w:cs="Arial" w:eastAsia="Arial" w:hAnsi="Arial"/>
          <w:color w:val="444444"/>
          <w:sz w:val="20"/>
          <w:szCs w:val="20"/>
        </w:rPr>
        <w:t xml:space="preserve">PSHE is embedded throughout the school day at TOWIS — through the ACE Approach, Homeroom time, assemblies, Global Perspectives, and planned PSHE lessons. Topics include emotional wellbeing, healthy relationships, online safety, resilience, community, and global citizenship. Character Development — one of the three ACE pillars — underpins all pastoral and PSHE provision.</w:t>
      </w:r>
    </w:p>
    <w:p>
      <w:pPr>
        <w:pStyle w:val="Heading2"/>
        <w:spacing w:after="110" w:before="240"/>
      </w:pPr>
      <w:r>
        <w:rPr>
          <w:rFonts w:ascii="Arial" w:cs="Arial" w:eastAsia="Arial" w:hAnsi="Arial"/>
          <w:b/>
          <w:bCs/>
          <w:color w:val="1B3A6B"/>
          <w:sz w:val="26"/>
          <w:szCs w:val="26"/>
        </w:rPr>
        <w:t xml:space="preserve">Student Leadership</w:t>
      </w:r>
    </w:p>
    <w:p>
      <w:pPr>
        <w:spacing w:after="100" w:before="60"/>
      </w:pPr>
      <w:r>
        <w:rPr>
          <w:rFonts w:ascii="Arial" w:cs="Arial" w:eastAsia="Arial" w:hAnsi="Arial"/>
          <w:color w:val="444444"/>
          <w:sz w:val="20"/>
          <w:szCs w:val="20"/>
        </w:rPr>
        <w:t xml:space="preserve">Student leadership is an important part of the Engagement pillar of the ACE Approach. At TOWIS, students across all phases have the opportunity to represent their peers and contribute to the life of the school.</w:t>
      </w:r>
    </w:p>
    <w:p>
      <w:pPr>
        <w:pStyle w:val="Heading3"/>
        <w:spacing w:after="70" w:before="170"/>
      </w:pPr>
      <w:r>
        <w:rPr>
          <w:rFonts w:ascii="Arial" w:cs="Arial" w:eastAsia="Arial" w:hAnsi="Arial"/>
          <w:b/>
          <w:bCs/>
          <w:color w:val="2A7F8F"/>
          <w:sz w:val="22"/>
          <w:szCs w:val="22"/>
        </w:rPr>
        <w:t xml:space="preserve">School Council</w:t>
      </w:r>
    </w:p>
    <w:p>
      <w:pPr>
        <w:spacing w:after="100" w:before="60"/>
      </w:pPr>
      <w:r>
        <w:rPr>
          <w:rFonts w:ascii="Arial" w:cs="Arial" w:eastAsia="Arial" w:hAnsi="Arial"/>
          <w:color w:val="444444"/>
          <w:sz w:val="20"/>
          <w:szCs w:val="20"/>
        </w:rPr>
        <w:t xml:space="preserve">TOWIS has an active School Council with elected members from all phases — EYFS, Primary, and Secondary. The Council meets regularly to discuss school life, raise ideas from peers, and contribute to the development of the school. Annual elections are held at the start of each academic year, and any student may stand for election.</w:t>
      </w:r>
    </w:p>
    <w:p>
      <w:pPr>
        <w:pStyle w:val="Heading3"/>
        <w:spacing w:after="70" w:before="170"/>
      </w:pPr>
      <w:r>
        <w:rPr>
          <w:rFonts w:ascii="Arial" w:cs="Arial" w:eastAsia="Arial" w:hAnsi="Arial"/>
          <w:b/>
          <w:bCs/>
          <w:color w:val="2A7F8F"/>
          <w:sz w:val="22"/>
          <w:szCs w:val="22"/>
        </w:rPr>
        <w:t xml:space="preserve">Head Boy &amp; Head Girl</w:t>
      </w:r>
    </w:p>
    <w:p>
      <w:pPr>
        <w:spacing w:after="100" w:before="60"/>
      </w:pPr>
      <w:r>
        <w:rPr>
          <w:rFonts w:ascii="Arial" w:cs="Arial" w:eastAsia="Arial" w:hAnsi="Arial"/>
          <w:color w:val="444444"/>
          <w:sz w:val="20"/>
          <w:szCs w:val="20"/>
        </w:rPr>
        <w:t xml:space="preserve">Each year, TOWIS elects a Head Boy and Head Girl from the Secondary phase through a whole-school election. They represent the student body at key events, support the Principal in school-wide initiatives, and serve as role models for all students.</w:t>
      </w:r>
    </w:p>
    <w:p>
      <w:pPr>
        <w:pStyle w:val="Heading3"/>
        <w:spacing w:after="70" w:before="170"/>
      </w:pPr>
      <w:r>
        <w:rPr>
          <w:rFonts w:ascii="Arial" w:cs="Arial" w:eastAsia="Arial" w:hAnsi="Arial"/>
          <w:b/>
          <w:bCs/>
          <w:color w:val="2A7F8F"/>
          <w:sz w:val="22"/>
          <w:szCs w:val="22"/>
        </w:rPr>
        <w:t xml:space="preserve">House Captains</w:t>
      </w:r>
    </w:p>
    <w:p>
      <w:pPr>
        <w:spacing w:after="100" w:before="60"/>
      </w:pPr>
      <w:r>
        <w:rPr>
          <w:rFonts w:ascii="Arial" w:cs="Arial" w:eastAsia="Arial" w:hAnsi="Arial"/>
          <w:color w:val="444444"/>
          <w:sz w:val="20"/>
          <w:szCs w:val="20"/>
        </w:rPr>
        <w:t xml:space="preserve">Each of the four Houses has two House Captains who organise House events and ensure student participation across all competitions and activities. Student leadership roles are recognised as a significant part of a student’s ACE Engagement record.</w:t>
      </w:r>
    </w:p>
    <w:p>
      <w:pPr>
        <w:shd w:fill="1B3A6B" w:val="clear"/>
        <w:spacing w:after="0" w:before="0"/>
      </w:pPr>
      <w:r>
        <w:rPr>
          <w:rFonts w:ascii="Arial" w:cs="Arial" w:eastAsia="Arial" w:hAnsi="Arial"/>
          <w:b/>
          <w:bCs/>
          <w:caps/>
          <w:color w:val="FFFFFF"/>
          <w:sz w:val="34"/>
          <w:szCs w:val="34"/>
        </w:rPr>
        <w:t xml:space="preserve">Key Policies</w:t>
      </w:r>
    </w:p>
    <w:p>
      <w:pPr>
        <w:spacing w:after="80" w:before="160"/>
      </w:pPr>
    </w:p>
    <w:p>
      <w:pPr>
        <w:pStyle w:val="Heading2"/>
        <w:spacing w:after="110" w:before="240"/>
      </w:pPr>
      <w:r>
        <w:rPr>
          <w:rFonts w:ascii="Arial" w:cs="Arial" w:eastAsia="Arial" w:hAnsi="Arial"/>
          <w:b/>
          <w:bCs/>
          <w:color w:val="1B3A6B"/>
          <w:sz w:val="26"/>
          <w:szCs w:val="26"/>
        </w:rPr>
        <w:t xml:space="preserve">Behaviour &amp; Discipline</w:t>
      </w:r>
    </w:p>
    <w:p>
      <w:pPr>
        <w:pStyle w:val="Heading3"/>
        <w:spacing w:after="70" w:before="170"/>
      </w:pPr>
      <w:r>
        <w:rPr>
          <w:rFonts w:ascii="Arial" w:cs="Arial" w:eastAsia="Arial" w:hAnsi="Arial"/>
          <w:b/>
          <w:bCs/>
          <w:color w:val="2A7F8F"/>
          <w:sz w:val="22"/>
          <w:szCs w:val="22"/>
        </w:rPr>
        <w:t xml:space="preserve">Our Approach</w:t>
      </w:r>
    </w:p>
    <w:p>
      <w:pPr>
        <w:spacing w:after="100" w:before="60"/>
      </w:pPr>
      <w:r>
        <w:rPr>
          <w:rFonts w:ascii="Arial" w:cs="Arial" w:eastAsia="Arial" w:hAnsi="Arial"/>
          <w:color w:val="444444"/>
          <w:sz w:val="20"/>
          <w:szCs w:val="20"/>
        </w:rPr>
        <w:t xml:space="preserve">At TOWIS, positive behaviour is a cornerstone of the ACE Approach. A calm, respectful, focused classroom is where Academic Excellence happens, where Character Development is practised every day, and where genuine Engagement becomes possible.</w:t>
      </w:r>
    </w:p>
    <w:p>
      <w:pPr>
        <w:spacing w:after="100" w:before="60"/>
      </w:pPr>
      <w:r>
        <w:rPr>
          <w:rFonts w:ascii="Arial" w:cs="Arial" w:eastAsia="Arial" w:hAnsi="Arial"/>
          <w:color w:val="444444"/>
          <w:sz w:val="20"/>
          <w:szCs w:val="20"/>
        </w:rPr>
        <w:t xml:space="preserve">Inappropriate behaviour will not be tolerated — not simply because it inconveniences the school, but because it directly harms learning. When a student behaves inappropriately, they prevent themselves from learning, prevent their classmates from learning, and prevent their teacher from teaching. That is not fair to anyone.</w:t>
      </w:r>
    </w:p>
    <w:p>
      <w:pPr>
        <w:spacing w:after="100" w:before="60"/>
      </w:pPr>
      <w:r>
        <w:rPr>
          <w:rFonts w:ascii="Arial" w:cs="Arial" w:eastAsia="Arial" w:hAnsi="Arial"/>
          <w:color w:val="444444"/>
          <w:sz w:val="20"/>
          <w:szCs w:val="20"/>
        </w:rPr>
        <w:t xml:space="preserve">Below Green — on any ACE pillar — it is time to intervene. The most effective interventions happen when school and home act together, quickly.</w:t>
      </w:r>
    </w:p>
    <w:p>
      <w:pPr>
        <w:pStyle w:val="Heading3"/>
        <w:spacing w:after="70" w:before="170"/>
      </w:pPr>
      <w:r>
        <w:rPr>
          <w:rFonts w:ascii="Arial" w:cs="Arial" w:eastAsia="Arial" w:hAnsi="Arial"/>
          <w:b/>
          <w:bCs/>
          <w:color w:val="2A7F8F"/>
          <w:sz w:val="22"/>
          <w:szCs w:val="22"/>
        </w:rPr>
        <w:t xml:space="preserve">Three Stakeholders, Three Responsibilities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1819"/>
        <w:gridCol w:w="4143"/>
        <w:gridCol w:w="4144"/>
      </w:tblGrid>
      <w:tr>
        <w:tc>
          <w:tcPr>
            <w:tcW w:type="dxa" w:w="181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Stakeholder</w:t>
            </w:r>
          </w:p>
        </w:tc>
        <w:tc>
          <w:tcPr>
            <w:tcW w:type="dxa" w:w="4143"/>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Responsibility</w:t>
            </w:r>
          </w:p>
        </w:tc>
        <w:tc>
          <w:tcPr>
            <w:tcW w:type="dxa" w:w="4144"/>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Commitment</w:t>
            </w:r>
          </w:p>
        </w:tc>
      </w:tr>
      <w:tr>
        <w:tc>
          <w:tcPr>
            <w:tcW w:type="dxa" w:w="18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The School</w:t>
            </w:r>
          </w:p>
        </w:tc>
        <w:tc>
          <w:tcPr>
            <w:tcW w:type="dxa" w:w="414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Set clear, consistent expectations. Apply rewards and sanctions fairly. Contact parents early — for concerns and successes. Use restorative approaches.</w:t>
            </w:r>
          </w:p>
        </w:tc>
        <w:tc>
          <w:tcPr>
            <w:tcW w:type="dxa" w:w="414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We will be firm, caring, consistent, and positive. We will never ignore behaviour that harms learning.</w:t>
            </w:r>
          </w:p>
        </w:tc>
      </w:tr>
      <w:tr>
        <w:tc>
          <w:tcPr>
            <w:tcW w:type="dxa" w:w="181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Parents</w:t>
            </w:r>
          </w:p>
        </w:tc>
        <w:tc>
          <w:tcPr>
            <w:tcW w:type="dxa" w:w="414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Support behaviour expectations at home. Respond promptly when the school makes contact. Reinforce that respectful behaviour is non-negotiable.</w:t>
            </w:r>
          </w:p>
        </w:tc>
        <w:tc>
          <w:tcPr>
            <w:tcW w:type="dxa" w:w="414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You know your child best. When we work together, we resolve issues quickly.</w:t>
            </w:r>
          </w:p>
        </w:tc>
      </w:tr>
      <w:tr>
        <w:tc>
          <w:tcPr>
            <w:tcW w:type="dxa" w:w="18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Students</w:t>
            </w:r>
          </w:p>
        </w:tc>
        <w:tc>
          <w:tcPr>
            <w:tcW w:type="dxa" w:w="414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Take responsibility for their own behaviour. Show resilience, respect, and effort every day. When mistakes are made — own them, learn, move forward.</w:t>
            </w:r>
          </w:p>
        </w:tc>
        <w:tc>
          <w:tcPr>
            <w:tcW w:type="dxa" w:w="414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We believe in every student’s ability to grow. The ACE Student Profile is the standard we all aspire to.</w:t>
            </w:r>
          </w:p>
        </w:tc>
      </w:tr>
    </w:tbl>
    <w:p>
      <w:pPr>
        <w:pStyle w:val="Heading3"/>
        <w:spacing w:after="70" w:before="170"/>
      </w:pPr>
      <w:r>
        <w:rPr>
          <w:rFonts w:ascii="Arial" w:cs="Arial" w:eastAsia="Arial" w:hAnsi="Arial"/>
          <w:b/>
          <w:bCs/>
          <w:color w:val="2A7F8F"/>
          <w:sz w:val="22"/>
          <w:szCs w:val="22"/>
        </w:rPr>
        <w:t xml:space="preserve">The Behaviour System: ClassDojo &amp; the ACE Scale</w:t>
      </w:r>
    </w:p>
    <w:p>
      <w:pPr>
        <w:spacing w:after="100" w:before="60"/>
      </w:pPr>
      <w:r>
        <w:rPr>
          <w:rFonts w:ascii="Arial" w:cs="Arial" w:eastAsia="Arial" w:hAnsi="Arial"/>
          <w:color w:val="444444"/>
          <w:sz w:val="20"/>
          <w:szCs w:val="20"/>
        </w:rPr>
        <w:t xml:space="preserve">Behaviour is tracked using ClassDojo points. Every day, teachers award points for positive behaviour, effort, and engagement. Every 10 ClassDojo points = 1 Merit point = 1 House point. It is the Merit/House point tally that determines a student’s ACE Behaviour band, reported on every quarterly Progress Report.</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2526"/>
        <w:gridCol w:w="7580"/>
      </w:tblGrid>
      <w:tr>
        <w:tc>
          <w:tcPr>
            <w:tcW w:type="dxa" w:w="2526"/>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Band</w:t>
            </w:r>
          </w:p>
        </w:tc>
        <w:tc>
          <w:tcPr>
            <w:tcW w:type="dxa" w:w="7580"/>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Merit Points &amp; Meaning</w:t>
            </w:r>
          </w:p>
        </w:tc>
      </w:tr>
      <w:tr>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 — Space Blue</w:t>
            </w:r>
          </w:p>
        </w:tc>
        <w:tc>
          <w:tcPr>
            <w:tcW w:type="dxa" w:w="7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Well above 10 per week — Outstanding behaviour, effort &amp; attitude. May act as mentor or role model.</w:t>
            </w:r>
          </w:p>
        </w:tc>
      </w:tr>
      <w:tr>
        <w:tc>
          <w:tcPr>
            <w:tcW w:type="dxa" w:w="252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B — Sky Blue</w:t>
            </w:r>
          </w:p>
        </w:tc>
        <w:tc>
          <w:tcPr>
            <w:tcW w:type="dxa" w:w="75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Above 10 per week — Consistently positive behaviour. Above expected contribution.</w:t>
            </w:r>
          </w:p>
        </w:tc>
      </w:tr>
      <w:tr>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 — Green</w:t>
            </w:r>
          </w:p>
        </w:tc>
        <w:tc>
          <w:tcPr>
            <w:tcW w:type="dxa" w:w="7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10 per week (baseline) — Expected standard. The minimum we expect of every student.</w:t>
            </w:r>
          </w:p>
        </w:tc>
      </w:tr>
      <w:tr>
        <w:tc>
          <w:tcPr>
            <w:tcW w:type="dxa" w:w="252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 — Amber</w:t>
            </w:r>
          </w:p>
        </w:tc>
        <w:tc>
          <w:tcPr>
            <w:tcW w:type="dxa" w:w="75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Below 10 per week — Intervention begins immediately. Parents contacted. Monitoring plan put in place.</w:t>
            </w:r>
          </w:p>
        </w:tc>
      </w:tr>
      <w:tr>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 — Red</w:t>
            </w:r>
          </w:p>
        </w:tc>
        <w:tc>
          <w:tcPr>
            <w:tcW w:type="dxa" w:w="7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Well below 10 per week — Senior leadership involved. Parent meeting arranged. Trips and clubs may be withdrawn.</w:t>
            </w:r>
          </w:p>
        </w:tc>
      </w:tr>
    </w:tbl>
    <w:p>
      <w:pPr>
        <w:spacing w:after="100" w:before="60"/>
      </w:pPr>
      <w:r>
        <w:rPr>
          <w:rFonts w:ascii="Arial" w:cs="Arial" w:eastAsia="Arial" w:hAnsi="Arial"/>
          <w:color w:val="444444"/>
          <w:sz w:val="20"/>
          <w:szCs w:val="20"/>
        </w:rPr>
        <w:t xml:space="preserve">Students who achieve and maintain a Blue Zone (Band A or B) are celebrated each half term with certificates, raffle tickets, and special recognition, and may be invited to act as peer mentors and school role models.</w:t>
      </w:r>
    </w:p>
    <w:p>
      <w:pPr>
        <w:pStyle w:val="Heading3"/>
        <w:spacing w:after="70" w:before="170"/>
      </w:pPr>
      <w:r>
        <w:rPr>
          <w:rFonts w:ascii="Arial" w:cs="Arial" w:eastAsia="Arial" w:hAnsi="Arial"/>
          <w:b/>
          <w:bCs/>
          <w:color w:val="2A7F8F"/>
          <w:sz w:val="22"/>
          <w:szCs w:val="22"/>
        </w:rPr>
        <w:t xml:space="preserve">Amber Offences (Low-Level Infringements)</w:t>
      </w:r>
    </w:p>
    <w:p>
      <w:pPr>
        <w:spacing w:after="100" w:before="60"/>
      </w:pPr>
      <w:r>
        <w:rPr>
          <w:rFonts w:ascii="Arial" w:cs="Arial" w:eastAsia="Arial" w:hAnsi="Arial"/>
          <w:color w:val="444444"/>
          <w:sz w:val="20"/>
          <w:szCs w:val="20"/>
        </w:rPr>
        <w:t xml:space="preserve">Dealt with through ClassDojo point deductions. Teachers work with students to help them understand and avoid repeating the mistake. Examples include:</w:t>
      </w:r>
    </w:p>
    <w:p>
      <w:pPr>
        <w:pStyle w:val="ListParagraph"/>
        <w:numPr>
          <w:ilvl w:val="0"/>
          <w:numId w:val="2"/>
        </w:numPr>
        <w:spacing w:after="40" w:before="40"/>
      </w:pPr>
      <w:r>
        <w:rPr>
          <w:rFonts w:ascii="Arial" w:cs="Arial" w:eastAsia="Arial" w:hAnsi="Arial"/>
          <w:color w:val="444444"/>
          <w:sz w:val="20"/>
          <w:szCs w:val="20"/>
        </w:rPr>
        <w:t xml:space="preserve">Repeated low effort in class</w:t>
      </w:r>
    </w:p>
    <w:p>
      <w:pPr>
        <w:pStyle w:val="ListParagraph"/>
        <w:numPr>
          <w:ilvl w:val="0"/>
          <w:numId w:val="2"/>
        </w:numPr>
        <w:spacing w:after="40" w:before="40"/>
      </w:pPr>
      <w:r>
        <w:rPr>
          <w:rFonts w:ascii="Arial" w:cs="Arial" w:eastAsia="Arial" w:hAnsi="Arial"/>
          <w:color w:val="444444"/>
          <w:sz w:val="20"/>
          <w:szCs w:val="20"/>
        </w:rPr>
        <w:t xml:space="preserve">Not completing homework</w:t>
      </w:r>
    </w:p>
    <w:p>
      <w:pPr>
        <w:pStyle w:val="ListParagraph"/>
        <w:numPr>
          <w:ilvl w:val="0"/>
          <w:numId w:val="2"/>
        </w:numPr>
        <w:spacing w:after="40" w:before="40"/>
      </w:pPr>
      <w:r>
        <w:rPr>
          <w:rFonts w:ascii="Arial" w:cs="Arial" w:eastAsia="Arial" w:hAnsi="Arial"/>
          <w:color w:val="444444"/>
          <w:sz w:val="20"/>
          <w:szCs w:val="20"/>
        </w:rPr>
        <w:t xml:space="preserve">Disruption during lessons</w:t>
      </w:r>
    </w:p>
    <w:p>
      <w:pPr>
        <w:pStyle w:val="ListParagraph"/>
        <w:numPr>
          <w:ilvl w:val="0"/>
          <w:numId w:val="2"/>
        </w:numPr>
        <w:spacing w:after="40" w:before="40"/>
      </w:pPr>
      <w:r>
        <w:rPr>
          <w:rFonts w:ascii="Arial" w:cs="Arial" w:eastAsia="Arial" w:hAnsi="Arial"/>
          <w:color w:val="444444"/>
          <w:sz w:val="20"/>
          <w:szCs w:val="20"/>
        </w:rPr>
        <w:t xml:space="preserve">Uniform infringements</w:t>
      </w:r>
    </w:p>
    <w:p>
      <w:pPr>
        <w:pStyle w:val="ListParagraph"/>
        <w:numPr>
          <w:ilvl w:val="0"/>
          <w:numId w:val="2"/>
        </w:numPr>
        <w:spacing w:after="40" w:before="40"/>
      </w:pPr>
      <w:r>
        <w:rPr>
          <w:rFonts w:ascii="Arial" w:cs="Arial" w:eastAsia="Arial" w:hAnsi="Arial"/>
          <w:color w:val="444444"/>
          <w:sz w:val="20"/>
          <w:szCs w:val="20"/>
        </w:rPr>
        <w:t xml:space="preserve">Mobile phone use contrary to school rules</w:t>
      </w:r>
    </w:p>
    <w:p>
      <w:pPr>
        <w:pStyle w:val="Heading3"/>
        <w:spacing w:after="70" w:before="170"/>
      </w:pPr>
      <w:r>
        <w:rPr>
          <w:rFonts w:ascii="Arial" w:cs="Arial" w:eastAsia="Arial" w:hAnsi="Arial"/>
          <w:b/>
          <w:bCs/>
          <w:color w:val="2A7F8F"/>
          <w:sz w:val="22"/>
          <w:szCs w:val="22"/>
        </w:rPr>
        <w:t xml:space="preserve">Red Offences (High-Level Infringements)</w:t>
      </w:r>
    </w:p>
    <w:p>
      <w:pPr>
        <w:spacing w:after="100" w:before="60"/>
      </w:pPr>
      <w:r>
        <w:rPr>
          <w:rFonts w:ascii="Arial" w:cs="Arial" w:eastAsia="Arial" w:hAnsi="Arial"/>
          <w:color w:val="444444"/>
          <w:sz w:val="20"/>
          <w:szCs w:val="20"/>
        </w:rPr>
        <w:t xml:space="preserve">More serious behaviours requiring a stronger response. A Red offence results in one full Merit/House point deducted (equivalent to 10 ClassDojo points). All Red offence sanctions must be approved by the Principal, and parents will always be informed. Examples include:</w:t>
      </w:r>
    </w:p>
    <w:p>
      <w:pPr>
        <w:pStyle w:val="ListParagraph"/>
        <w:numPr>
          <w:ilvl w:val="0"/>
          <w:numId w:val="2"/>
        </w:numPr>
        <w:spacing w:after="40" w:before="40"/>
      </w:pPr>
      <w:r>
        <w:rPr>
          <w:rFonts w:ascii="Arial" w:cs="Arial" w:eastAsia="Arial" w:hAnsi="Arial"/>
          <w:color w:val="444444"/>
          <w:sz w:val="20"/>
          <w:szCs w:val="20"/>
        </w:rPr>
        <w:t xml:space="preserve">Physical violence — striking, pushing, or biting</w:t>
      </w:r>
    </w:p>
    <w:p>
      <w:pPr>
        <w:pStyle w:val="ListParagraph"/>
        <w:numPr>
          <w:ilvl w:val="0"/>
          <w:numId w:val="2"/>
        </w:numPr>
        <w:spacing w:after="40" w:before="40"/>
      </w:pPr>
      <w:r>
        <w:rPr>
          <w:rFonts w:ascii="Arial" w:cs="Arial" w:eastAsia="Arial" w:hAnsi="Arial"/>
          <w:color w:val="444444"/>
          <w:sz w:val="20"/>
          <w:szCs w:val="20"/>
        </w:rPr>
        <w:t xml:space="preserve">Swearing at a student, teacher, or member of staff</w:t>
      </w:r>
    </w:p>
    <w:p>
      <w:pPr>
        <w:pStyle w:val="ListParagraph"/>
        <w:numPr>
          <w:ilvl w:val="0"/>
          <w:numId w:val="2"/>
        </w:numPr>
        <w:spacing w:after="40" w:before="40"/>
      </w:pPr>
      <w:r>
        <w:rPr>
          <w:rFonts w:ascii="Arial" w:cs="Arial" w:eastAsia="Arial" w:hAnsi="Arial"/>
          <w:color w:val="444444"/>
          <w:sz w:val="20"/>
          <w:szCs w:val="20"/>
        </w:rPr>
        <w:t xml:space="preserve">Name-calling or targeted verbal abuse</w:t>
      </w:r>
    </w:p>
    <w:p>
      <w:pPr>
        <w:pStyle w:val="ListParagraph"/>
        <w:numPr>
          <w:ilvl w:val="0"/>
          <w:numId w:val="2"/>
        </w:numPr>
        <w:spacing w:after="40" w:before="40"/>
      </w:pPr>
      <w:r>
        <w:rPr>
          <w:rFonts w:ascii="Arial" w:cs="Arial" w:eastAsia="Arial" w:hAnsi="Arial"/>
          <w:color w:val="444444"/>
          <w:sz w:val="20"/>
          <w:szCs w:val="20"/>
        </w:rPr>
        <w:t xml:space="preserve">Damaging school property or another student’s belongings</w:t>
      </w:r>
    </w:p>
    <w:p>
      <w:pPr>
        <w:pStyle w:val="ListParagraph"/>
        <w:numPr>
          <w:ilvl w:val="0"/>
          <w:numId w:val="2"/>
        </w:numPr>
        <w:spacing w:after="40" w:before="40"/>
      </w:pPr>
      <w:r>
        <w:rPr>
          <w:rFonts w:ascii="Arial" w:cs="Arial" w:eastAsia="Arial" w:hAnsi="Arial"/>
          <w:color w:val="444444"/>
          <w:sz w:val="20"/>
          <w:szCs w:val="20"/>
        </w:rPr>
        <w:t xml:space="preserve">Bringing banned substances onto school premises</w:t>
      </w:r>
    </w:p>
    <w:p>
      <w:pPr>
        <w:pStyle w:val="ListParagraph"/>
        <w:numPr>
          <w:ilvl w:val="0"/>
          <w:numId w:val="2"/>
        </w:numPr>
        <w:spacing w:after="40" w:before="40"/>
      </w:pPr>
      <w:r>
        <w:rPr>
          <w:rFonts w:ascii="Arial" w:cs="Arial" w:eastAsia="Arial" w:hAnsi="Arial"/>
          <w:color w:val="444444"/>
          <w:sz w:val="20"/>
          <w:szCs w:val="20"/>
        </w:rPr>
        <w:t xml:space="preserve">Any other behaviour deemed serious by the Principal</w:t>
      </w:r>
    </w:p>
    <w:p>
      <w:pPr>
        <w:spacing w:after="100" w:before="60"/>
      </w:pPr>
      <w:r>
        <w:rPr>
          <w:rFonts w:ascii="Arial" w:cs="Arial" w:eastAsia="Arial" w:hAnsi="Arial"/>
          <w:b/>
          <w:bCs/>
          <w:color w:val="444444"/>
          <w:sz w:val="20"/>
          <w:szCs w:val="20"/>
        </w:rPr>
        <w:t xml:space="preserve">Zero tolerance: physical violence, bullying, and any behaviour that puts the safety or dignity of others at risk will always result in an immediate Red offence sanction, regardless of context or prior record.</w:t>
      </w:r>
    </w:p>
    <w:p>
      <w:pPr>
        <w:pStyle w:val="Heading3"/>
        <w:spacing w:after="70" w:before="170"/>
      </w:pPr>
      <w:r>
        <w:rPr>
          <w:rFonts w:ascii="Arial" w:cs="Arial" w:eastAsia="Arial" w:hAnsi="Arial"/>
          <w:b/>
          <w:bCs/>
          <w:color w:val="2A7F8F"/>
          <w:sz w:val="22"/>
          <w:szCs w:val="22"/>
        </w:rPr>
        <w:t xml:space="preserve">When Behaviour Falls Below Green</w:t>
      </w:r>
    </w:p>
    <w:p>
      <w:pPr>
        <w:pStyle w:val="ListParagraph"/>
        <w:numPr>
          <w:ilvl w:val="0"/>
          <w:numId w:val="2"/>
        </w:numPr>
        <w:spacing w:after="40" w:before="40"/>
      </w:pPr>
      <w:r>
        <w:rPr>
          <w:rFonts w:ascii="Arial" w:cs="Arial" w:eastAsia="Arial" w:hAnsi="Arial"/>
          <w:color w:val="444444"/>
          <w:sz w:val="20"/>
          <w:szCs w:val="20"/>
        </w:rPr>
        <w:t xml:space="preserve">The class teacher contacts parents immediately via ClassDojo or phone — not at the end of term.</w:t>
      </w:r>
    </w:p>
    <w:p>
      <w:pPr>
        <w:pStyle w:val="ListParagraph"/>
        <w:numPr>
          <w:ilvl w:val="0"/>
          <w:numId w:val="2"/>
        </w:numPr>
        <w:spacing w:after="40" w:before="40"/>
      </w:pPr>
      <w:r>
        <w:rPr>
          <w:rFonts w:ascii="Arial" w:cs="Arial" w:eastAsia="Arial" w:hAnsi="Arial"/>
          <w:color w:val="444444"/>
          <w:sz w:val="20"/>
          <w:szCs w:val="20"/>
        </w:rPr>
        <w:t xml:space="preserve">The student is placed on a behaviour monitoring plan with clear targets and review dates.</w:t>
      </w:r>
    </w:p>
    <w:p>
      <w:pPr>
        <w:pStyle w:val="ListParagraph"/>
        <w:numPr>
          <w:ilvl w:val="0"/>
          <w:numId w:val="2"/>
        </w:numPr>
        <w:spacing w:after="40" w:before="40"/>
      </w:pPr>
      <w:r>
        <w:rPr>
          <w:rFonts w:ascii="Arial" w:cs="Arial" w:eastAsia="Arial" w:hAnsi="Arial"/>
          <w:color w:val="444444"/>
          <w:sz w:val="20"/>
          <w:szCs w:val="20"/>
        </w:rPr>
        <w:t xml:space="preserve">If behaviour continues below Green, senior leadership becomes involved and a formal parent meeting is arranged.</w:t>
      </w:r>
    </w:p>
    <w:p>
      <w:pPr>
        <w:pStyle w:val="ListParagraph"/>
        <w:numPr>
          <w:ilvl w:val="0"/>
          <w:numId w:val="2"/>
        </w:numPr>
        <w:spacing w:after="40" w:before="40"/>
      </w:pPr>
      <w:r>
        <w:rPr>
          <w:rFonts w:ascii="Arial" w:cs="Arial" w:eastAsia="Arial" w:hAnsi="Arial"/>
          <w:color w:val="444444"/>
          <w:sz w:val="20"/>
          <w:szCs w:val="20"/>
        </w:rPr>
        <w:t xml:space="preserve">Students below Green may be excluded from trips, clubs, and special events until their band improves.</w:t>
      </w:r>
    </w:p>
    <w:p>
      <w:pPr>
        <w:pStyle w:val="ListParagraph"/>
        <w:numPr>
          <w:ilvl w:val="0"/>
          <w:numId w:val="2"/>
        </w:numPr>
        <w:spacing w:after="40" w:before="40"/>
      </w:pPr>
      <w:r>
        <w:rPr>
          <w:rFonts w:ascii="Arial" w:cs="Arial" w:eastAsia="Arial" w:hAnsi="Arial"/>
          <w:color w:val="444444"/>
          <w:sz w:val="20"/>
          <w:szCs w:val="20"/>
        </w:rPr>
        <w:t xml:space="preserve">In serious or persistent cases, the school reserves the right to review continued enrolment.</w:t>
      </w:r>
    </w:p>
    <w:p>
      <w:pPr>
        <w:pStyle w:val="Heading2"/>
        <w:spacing w:after="110" w:before="240"/>
      </w:pPr>
      <w:r>
        <w:rPr>
          <w:rFonts w:ascii="Arial" w:cs="Arial" w:eastAsia="Arial" w:hAnsi="Arial"/>
          <w:b/>
          <w:bCs/>
          <w:color w:val="1B3A6B"/>
          <w:sz w:val="26"/>
          <w:szCs w:val="26"/>
        </w:rPr>
        <w:t xml:space="preserve">Safeguarding &amp; Child Protection</w:t>
      </w:r>
    </w:p>
    <w:p>
      <w:pPr>
        <w:spacing w:after="100" w:before="60"/>
      </w:pPr>
      <w:r>
        <w:rPr>
          <w:rFonts w:ascii="Arial" w:cs="Arial" w:eastAsia="Arial" w:hAnsi="Arial"/>
          <w:color w:val="444444"/>
          <w:sz w:val="20"/>
          <w:szCs w:val="20"/>
        </w:rPr>
        <w:t xml:space="preserve">Safeguarding is the number one priority at TOWIS. The welfare of every child is paramount in everything we do. No learning objective, event, or policy takes precedence over the safety and wellbeing of our students. Every student at TOWIS is supervised at all times.</w:t>
      </w:r>
    </w:p>
    <w:p>
      <w:pPr>
        <w:pStyle w:val="Heading3"/>
        <w:spacing w:after="70" w:before="170"/>
      </w:pPr>
      <w:r>
        <w:rPr>
          <w:rFonts w:ascii="Arial" w:cs="Arial" w:eastAsia="Arial" w:hAnsi="Arial"/>
          <w:b/>
          <w:bCs/>
          <w:color w:val="2A7F8F"/>
          <w:sz w:val="22"/>
          <w:szCs w:val="22"/>
        </w:rPr>
        <w:t xml:space="preserve">The Child Protection &amp; Safeguarding Team</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4547"/>
        <w:gridCol w:w="5559"/>
      </w:tblGrid>
      <w:tr>
        <w:tc>
          <w:tcPr>
            <w:tcW w:type="dxa" w:w="454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Role &amp; Name</w:t>
            </w:r>
          </w:p>
        </w:tc>
        <w:tc>
          <w:tcPr>
            <w:tcW w:type="dxa" w:w="555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Contact</w:t>
            </w:r>
          </w:p>
        </w:tc>
      </w:tr>
      <w:tr>
        <w:tc>
          <w:tcPr>
            <w:tcW w:type="dxa" w:w="454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Principal &amp; Designated Safeguarding Lead
Mr. Jarlath Madine</w:t>
            </w:r>
          </w:p>
        </w:tc>
        <w:tc>
          <w:tcPr>
            <w:tcW w:type="dxa" w:w="555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headmaster@towa.edu.mm  |  +959 8800 03770</w:t>
            </w:r>
          </w:p>
        </w:tc>
      </w:tr>
      <w:tr>
        <w:tc>
          <w:tcPr>
            <w:tcW w:type="dxa" w:w="454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Deputy Principal
Dr. Hnin Mar Aung</w:t>
            </w:r>
          </w:p>
        </w:tc>
        <w:tc>
          <w:tcPr>
            <w:tcW w:type="dxa" w:w="555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deputyprincipal@towa.edu.mm  |  +959 9650 94979</w:t>
            </w:r>
          </w:p>
        </w:tc>
      </w:tr>
      <w:tr>
        <w:tc>
          <w:tcPr>
            <w:tcW w:type="dxa" w:w="454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Child Protection Officer
Mr. Paul Chambers</w:t>
            </w:r>
          </w:p>
        </w:tc>
        <w:tc>
          <w:tcPr>
            <w:tcW w:type="dxa" w:w="555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tr.paul@towa.edu.mm  |  Room 304</w:t>
            </w:r>
          </w:p>
        </w:tc>
      </w:tr>
      <w:tr>
        <w:tc>
          <w:tcPr>
            <w:tcW w:type="dxa" w:w="454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Child Protection Officer
Ms. Moe Moe Khaing</w:t>
            </w:r>
          </w:p>
        </w:tc>
        <w:tc>
          <w:tcPr>
            <w:tcW w:type="dxa" w:w="555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tr.moe.moe@towa.edu.mm  |  Room 101</w:t>
            </w:r>
          </w:p>
        </w:tc>
      </w:tr>
      <w:tr>
        <w:tc>
          <w:tcPr>
            <w:tcW w:type="dxa" w:w="454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Reception
Ms. Nway Nway Myint Han</w:t>
            </w:r>
          </w:p>
        </w:tc>
        <w:tc>
          <w:tcPr>
            <w:tcW w:type="dxa" w:w="555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receptionist@towa.edu.mm  |  +95 9 45063 4402</w:t>
            </w:r>
          </w:p>
        </w:tc>
      </w:tr>
    </w:tbl>
    <w:p>
      <w:pPr>
        <w:spacing w:after="100" w:before="60"/>
      </w:pPr>
      <w:r>
        <w:rPr>
          <w:rFonts w:ascii="Arial" w:cs="Arial" w:eastAsia="Arial" w:hAnsi="Arial"/>
          <w:color w:val="444444"/>
          <w:sz w:val="20"/>
          <w:szCs w:val="20"/>
        </w:rPr>
        <w:t xml:space="preserve">If you have a safeguarding concern about a child, do not wait. Contact any member of the Child Protection Team immediately.</w:t>
      </w:r>
    </w:p>
    <w:p>
      <w:pPr>
        <w:pStyle w:val="Heading3"/>
        <w:spacing w:after="70" w:before="170"/>
      </w:pPr>
      <w:r>
        <w:rPr>
          <w:rFonts w:ascii="Arial" w:cs="Arial" w:eastAsia="Arial" w:hAnsi="Arial"/>
          <w:b/>
          <w:bCs/>
          <w:color w:val="2A7F8F"/>
          <w:sz w:val="22"/>
          <w:szCs w:val="22"/>
        </w:rPr>
        <w:t xml:space="preserve">Supervision &amp; Accidents</w:t>
      </w:r>
    </w:p>
    <w:p>
      <w:pPr>
        <w:spacing w:after="100" w:before="60"/>
      </w:pPr>
      <w:r>
        <w:rPr>
          <w:rFonts w:ascii="Arial" w:cs="Arial" w:eastAsia="Arial" w:hAnsi="Arial"/>
          <w:color w:val="444444"/>
          <w:sz w:val="20"/>
          <w:szCs w:val="20"/>
        </w:rPr>
        <w:t xml:space="preserve">Students are supervised at all times during the school day. In the event of any accident or medical incident, our school nurse provides immediate first aid and parents are contacted promptly. All accidents are recorded and, where appropriate, reported to parents the same day. Serious incidents are reported to the Principal and parents immediately.</w:t>
      </w:r>
    </w:p>
    <w:p>
      <w:pPr>
        <w:pStyle w:val="Heading3"/>
        <w:spacing w:after="70" w:before="170"/>
      </w:pPr>
      <w:r>
        <w:rPr>
          <w:rFonts w:ascii="Arial" w:cs="Arial" w:eastAsia="Arial" w:hAnsi="Arial"/>
          <w:b/>
          <w:bCs/>
          <w:color w:val="2A7F8F"/>
          <w:sz w:val="22"/>
          <w:szCs w:val="22"/>
        </w:rPr>
        <w:t xml:space="preserve">What Parents Should Know</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2526"/>
        <w:gridCol w:w="7580"/>
      </w:tblGrid>
      <w:tr>
        <w:tc>
          <w:tcPr>
            <w:tcW w:type="dxa" w:w="2526"/>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Topic</w:t>
            </w:r>
          </w:p>
        </w:tc>
        <w:tc>
          <w:tcPr>
            <w:tcW w:type="dxa" w:w="7580"/>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School Position</w:t>
            </w:r>
          </w:p>
        </w:tc>
      </w:tr>
      <w:tr>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CCTV</w:t>
            </w:r>
          </w:p>
        </w:tc>
        <w:tc>
          <w:tcPr>
            <w:tcW w:type="dxa" w:w="7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TOWIS operates CCTV across the school campus for safeguarding and investigative purposes. Parents are not permitted to view CCTV footage as it contains images of other students.</w:t>
            </w:r>
          </w:p>
        </w:tc>
      </w:tr>
      <w:tr>
        <w:tc>
          <w:tcPr>
            <w:tcW w:type="dxa" w:w="252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Other families’ contact details</w:t>
            </w:r>
          </w:p>
        </w:tc>
        <w:tc>
          <w:tcPr>
            <w:tcW w:type="dxa" w:w="75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The school will not share the contact details of parents or students with other parents under any circumstances. This is a safeguarding requirement.</w:t>
            </w:r>
          </w:p>
        </w:tc>
      </w:tr>
      <w:tr>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Speaking with other students</w:t>
            </w:r>
          </w:p>
        </w:tc>
        <w:tc>
          <w:tcPr>
            <w:tcW w:type="dxa" w:w="7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Parents may not approach, question, or speak with students other than their own child on school matters. Raise concerns with the Homeroom Teacher or a CPO.</w:t>
            </w:r>
          </w:p>
        </w:tc>
      </w:tr>
      <w:tr>
        <w:tc>
          <w:tcPr>
            <w:tcW w:type="dxa" w:w="252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Confidentiality</w:t>
            </w:r>
          </w:p>
        </w:tc>
        <w:tc>
          <w:tcPr>
            <w:tcW w:type="dxa" w:w="75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Safeguarding information is shared strictly on a need-to-know basis, in line with the school’s Data Protection Policy. Records are held securely and separately from general student files.</w:t>
            </w:r>
          </w:p>
        </w:tc>
      </w:tr>
    </w:tbl>
    <w:p>
      <w:pPr>
        <w:pStyle w:val="Heading2"/>
        <w:spacing w:after="110" w:before="240"/>
      </w:pPr>
      <w:r>
        <w:rPr>
          <w:rFonts w:ascii="Arial" w:cs="Arial" w:eastAsia="Arial" w:hAnsi="Arial"/>
          <w:b/>
          <w:bCs/>
          <w:color w:val="1B3A6B"/>
          <w:sz w:val="26"/>
          <w:szCs w:val="26"/>
        </w:rPr>
        <w:t xml:space="preserve">Anti-Bullying</w:t>
      </w:r>
    </w:p>
    <w:p>
      <w:pPr>
        <w:spacing w:after="100" w:before="60"/>
      </w:pPr>
      <w:r>
        <w:rPr>
          <w:rFonts w:ascii="Arial" w:cs="Arial" w:eastAsia="Arial" w:hAnsi="Arial"/>
          <w:color w:val="444444"/>
          <w:sz w:val="20"/>
          <w:szCs w:val="20"/>
        </w:rPr>
        <w:t xml:space="preserve">TOWIS has zero tolerance for bullying of any kind — whether physical, verbal, emotional, or online. We take every report seriously and investigate thoroughly before reaching any conclusion.</w:t>
      </w:r>
    </w:p>
    <w:p>
      <w:pPr>
        <w:pStyle w:val="Heading3"/>
        <w:spacing w:after="70" w:before="170"/>
      </w:pPr>
      <w:r>
        <w:rPr>
          <w:rFonts w:ascii="Arial" w:cs="Arial" w:eastAsia="Arial" w:hAnsi="Arial"/>
          <w:b/>
          <w:bCs/>
          <w:color w:val="2A7F8F"/>
          <w:sz w:val="22"/>
          <w:szCs w:val="22"/>
        </w:rPr>
        <w:t xml:space="preserve">What is Bullying?</w:t>
      </w:r>
    </w:p>
    <w:p>
      <w:pPr>
        <w:spacing w:after="100" w:before="60"/>
      </w:pPr>
      <w:r>
        <w:rPr>
          <w:rFonts w:ascii="Arial" w:cs="Arial" w:eastAsia="Arial" w:hAnsi="Arial"/>
          <w:color w:val="444444"/>
          <w:sz w:val="20"/>
          <w:szCs w:val="20"/>
        </w:rPr>
        <w:t xml:space="preserve">Bullying is defined as repeated, intentional behaviour that causes harm to another person and involves an imbalance of power. It can take the form of physical bullying, verbal bullying, emotional/social bullying, or cyberbullying.</w:t>
      </w:r>
    </w:p>
    <w:p>
      <w:pPr>
        <w:pStyle w:val="Heading3"/>
        <w:spacing w:after="70" w:before="170"/>
      </w:pPr>
      <w:r>
        <w:rPr>
          <w:rFonts w:ascii="Arial" w:cs="Arial" w:eastAsia="Arial" w:hAnsi="Arial"/>
          <w:b/>
          <w:bCs/>
          <w:color w:val="2A7F8F"/>
          <w:sz w:val="22"/>
          <w:szCs w:val="22"/>
        </w:rPr>
        <w:t xml:space="preserve">Our Investigation Process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1010"/>
        <w:gridCol w:w="9096"/>
      </w:tblGrid>
      <w:tr>
        <w:tc>
          <w:tcPr>
            <w:tcW w:type="dxa" w:w="1010"/>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Step</w:t>
            </w:r>
          </w:p>
        </w:tc>
        <w:tc>
          <w:tcPr>
            <w:tcW w:type="dxa" w:w="9096"/>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Action</w:t>
            </w:r>
          </w:p>
        </w:tc>
      </w:tr>
      <w:tr>
        <w:tc>
          <w:tcPr>
            <w:tcW w:type="dxa" w:w="10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1</w:t>
            </w:r>
          </w:p>
        </w:tc>
        <w:tc>
          <w:tcPr>
            <w:tcW w:type="dxa" w:w="909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Concern reported to Homeroom Teacher or CPO. Safeguarding team immediately notified.</w:t>
            </w:r>
          </w:p>
        </w:tc>
      </w:tr>
      <w:tr>
        <w:tc>
          <w:tcPr>
            <w:tcW w:type="dxa" w:w="101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2</w:t>
            </w:r>
          </w:p>
        </w:tc>
        <w:tc>
          <w:tcPr>
            <w:tcW w:type="dxa" w:w="909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Victim spoken with privately, sensitively, and without judgement. Account recorded in full.</w:t>
            </w:r>
          </w:p>
        </w:tc>
      </w:tr>
      <w:tr>
        <w:tc>
          <w:tcPr>
            <w:tcW w:type="dxa" w:w="10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3</w:t>
            </w:r>
          </w:p>
        </w:tc>
        <w:tc>
          <w:tcPr>
            <w:tcW w:type="dxa" w:w="909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Alleged perpetrator spoken with separately. Account recorded.</w:t>
            </w:r>
          </w:p>
        </w:tc>
      </w:tr>
      <w:tr>
        <w:tc>
          <w:tcPr>
            <w:tcW w:type="dxa" w:w="101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4</w:t>
            </w:r>
          </w:p>
        </w:tc>
        <w:tc>
          <w:tcPr>
            <w:tcW w:type="dxa" w:w="909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Third-party witnesses interviewed independently.</w:t>
            </w:r>
          </w:p>
        </w:tc>
      </w:tr>
      <w:tr>
        <w:tc>
          <w:tcPr>
            <w:tcW w:type="dxa" w:w="10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5</w:t>
            </w:r>
          </w:p>
        </w:tc>
        <w:tc>
          <w:tcPr>
            <w:tcW w:type="dxa" w:w="909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CCTV footage reviewed where relevant.</w:t>
            </w:r>
          </w:p>
        </w:tc>
      </w:tr>
      <w:tr>
        <w:tc>
          <w:tcPr>
            <w:tcW w:type="dxa" w:w="101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6</w:t>
            </w:r>
          </w:p>
        </w:tc>
        <w:tc>
          <w:tcPr>
            <w:tcW w:type="dxa" w:w="909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Principal reviews all evidence and makes the final decision.</w:t>
            </w:r>
          </w:p>
        </w:tc>
      </w:tr>
      <w:tr>
        <w:tc>
          <w:tcPr>
            <w:tcW w:type="dxa" w:w="101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7</w:t>
            </w:r>
          </w:p>
        </w:tc>
        <w:tc>
          <w:tcPr>
            <w:tcW w:type="dxa" w:w="909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Both sets of parents informed. Consequences and support put in place for all parties.</w:t>
            </w:r>
          </w:p>
        </w:tc>
      </w:tr>
    </w:tbl>
    <w:p>
      <w:pPr>
        <w:spacing w:after="100" w:before="60"/>
      </w:pPr>
      <w:r>
        <w:rPr>
          <w:rFonts w:ascii="Arial" w:cs="Arial" w:eastAsia="Arial" w:hAnsi="Arial"/>
          <w:b/>
          <w:bCs/>
          <w:color w:val="444444"/>
          <w:sz w:val="20"/>
          <w:szCs w:val="20"/>
        </w:rPr>
        <w:t xml:space="preserve">The Principal makes the final decision in all bullying cases. Parents are not permitted to approach or speak directly with other students or families involved in an investigation — doing so may compromise the investigation and is a breach of the school’s safeguarding policy.</w:t>
      </w:r>
    </w:p>
    <w:p>
      <w:pPr>
        <w:pStyle w:val="Heading2"/>
        <w:spacing w:after="110" w:before="240"/>
      </w:pPr>
      <w:r>
        <w:rPr>
          <w:rFonts w:ascii="Arial" w:cs="Arial" w:eastAsia="Arial" w:hAnsi="Arial"/>
          <w:b/>
          <w:bCs/>
          <w:color w:val="1B3A6B"/>
          <w:sz w:val="26"/>
          <w:szCs w:val="26"/>
        </w:rPr>
        <w:t xml:space="preserve">Mobile Phones &amp; Electronic Devices</w:t>
      </w:r>
    </w:p>
    <w:p>
      <w:pPr>
        <w:spacing w:after="100" w:before="60"/>
      </w:pPr>
      <w:r>
        <w:rPr>
          <w:rFonts w:ascii="Arial" w:cs="Arial" w:eastAsia="Arial" w:hAnsi="Arial"/>
          <w:color w:val="444444"/>
          <w:sz w:val="20"/>
          <w:szCs w:val="20"/>
        </w:rPr>
        <w:t xml:space="preserve">Mobile phones are not permitted at TOWIS. This policy is driven by two core concerns: safeguarding and the risks associated with social media. A phone-free environment protects all students and keeps the focus on learning, relationships, and growth.</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6569"/>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Students</w:t>
            </w:r>
          </w:p>
        </w:tc>
        <w:tc>
          <w:tcPr>
            <w:tcW w:type="dxa" w:w="656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Rule</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EYFS–Year 9</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Mobile phones are not permitted on school premises at any time.</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Years 10–11 exception</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Students travelling to school alone by taxi may carry a phone for safety. It must be switched off and in their bag for the entire school day.</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1st offence</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Phone confiscated and returned at the end of the school day.</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2nd offence</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Phone confiscated and collected by a parent.</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3rd offence</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Phone must be handed in daily at the start of school. Failure to comply results in a ban.</w:t>
            </w:r>
          </w:p>
        </w:tc>
      </w:tr>
    </w:tbl>
    <w:p>
      <w:pPr>
        <w:spacing w:after="100" w:before="60"/>
      </w:pPr>
      <w:r>
        <w:rPr>
          <w:rFonts w:ascii="Arial" w:cs="Arial" w:eastAsia="Arial" w:hAnsi="Arial"/>
          <w:color w:val="444444"/>
          <w:sz w:val="20"/>
          <w:szCs w:val="20"/>
        </w:rPr>
        <w:t xml:space="preserve">School-issued or approved devices (laptops, Chromebooks, no SIM cards) may be permitted where required for learning, in compliance with the school’s Acceptable Use Policy.</w:t>
      </w:r>
    </w:p>
    <w:p>
      <w:pPr>
        <w:pStyle w:val="Heading2"/>
        <w:spacing w:after="110" w:before="240"/>
      </w:pPr>
      <w:r>
        <w:rPr>
          <w:rFonts w:ascii="Arial" w:cs="Arial" w:eastAsia="Arial" w:hAnsi="Arial"/>
          <w:b/>
          <w:bCs/>
          <w:color w:val="1B3A6B"/>
          <w:sz w:val="26"/>
          <w:szCs w:val="26"/>
        </w:rPr>
        <w:t xml:space="preserve">Digital Safety &amp; Acceptable Use</w:t>
      </w:r>
    </w:p>
    <w:p>
      <w:pPr>
        <w:spacing w:after="100" w:before="60"/>
      </w:pPr>
      <w:r>
        <w:rPr>
          <w:rFonts w:ascii="Arial" w:cs="Arial" w:eastAsia="Arial" w:hAnsi="Arial"/>
          <w:color w:val="444444"/>
          <w:sz w:val="20"/>
          <w:szCs w:val="20"/>
        </w:rPr>
        <w:t xml:space="preserve">Technology is a powerful tool for learning — and a significant source of risk if misused. TOWIS has a comprehensive Digital Safeguarding &amp; Device Use Policy, aligned with CAIE, COBIS, UK DfE (Keeping Children Safe in Education), and Myanmar ICT regulations.</w:t>
      </w:r>
    </w:p>
    <w:p>
      <w:pPr>
        <w:pStyle w:val="ListParagraph"/>
        <w:numPr>
          <w:ilvl w:val="0"/>
          <w:numId w:val="2"/>
        </w:numPr>
        <w:spacing w:after="40" w:before="40"/>
      </w:pPr>
      <w:r>
        <w:rPr>
          <w:rFonts w:ascii="Arial" w:cs="Arial" w:eastAsia="Arial" w:hAnsi="Arial"/>
          <w:color w:val="444444"/>
          <w:sz w:val="20"/>
          <w:szCs w:val="20"/>
        </w:rPr>
        <w:t xml:space="preserve">All internet use on school premises is monitored and filtered.</w:t>
      </w:r>
    </w:p>
    <w:p>
      <w:pPr>
        <w:pStyle w:val="ListParagraph"/>
        <w:numPr>
          <w:ilvl w:val="0"/>
          <w:numId w:val="2"/>
        </w:numPr>
        <w:spacing w:after="40" w:before="40"/>
      </w:pPr>
      <w:r>
        <w:rPr>
          <w:rFonts w:ascii="Arial" w:cs="Arial" w:eastAsia="Arial" w:hAnsi="Arial"/>
          <w:color w:val="444444"/>
          <w:sz w:val="20"/>
          <w:szCs w:val="20"/>
        </w:rPr>
        <w:t xml:space="preserve">Students connect only to the Student Wi-Fi. Access to the Staff network is prohibited.</w:t>
      </w:r>
    </w:p>
    <w:p>
      <w:pPr>
        <w:pStyle w:val="ListParagraph"/>
        <w:numPr>
          <w:ilvl w:val="0"/>
          <w:numId w:val="2"/>
        </w:numPr>
        <w:spacing w:after="40" w:before="40"/>
      </w:pPr>
      <w:r>
        <w:rPr>
          <w:rFonts w:ascii="Arial" w:cs="Arial" w:eastAsia="Arial" w:hAnsi="Arial"/>
          <w:color w:val="444444"/>
          <w:sz w:val="20"/>
          <w:szCs w:val="20"/>
        </w:rPr>
        <w:t xml:space="preserve">No photography, video, or audio recording on school premises without explicit permission.</w:t>
      </w:r>
    </w:p>
    <w:p>
      <w:pPr>
        <w:pStyle w:val="ListParagraph"/>
        <w:numPr>
          <w:ilvl w:val="0"/>
          <w:numId w:val="2"/>
        </w:numPr>
        <w:spacing w:after="40" w:before="40"/>
      </w:pPr>
      <w:r>
        <w:rPr>
          <w:rFonts w:ascii="Arial" w:cs="Arial" w:eastAsia="Arial" w:hAnsi="Arial"/>
          <w:color w:val="444444"/>
          <w:sz w:val="20"/>
          <w:szCs w:val="20"/>
        </w:rPr>
        <w:t xml:space="preserve">No social media use during school hours on any device.</w:t>
      </w:r>
    </w:p>
    <w:p>
      <w:pPr>
        <w:pStyle w:val="ListParagraph"/>
        <w:numPr>
          <w:ilvl w:val="0"/>
          <w:numId w:val="2"/>
        </w:numPr>
        <w:spacing w:after="40" w:before="40"/>
      </w:pPr>
      <w:r>
        <w:rPr>
          <w:rFonts w:ascii="Arial" w:cs="Arial" w:eastAsia="Arial" w:hAnsi="Arial"/>
          <w:color w:val="444444"/>
          <w:sz w:val="20"/>
          <w:szCs w:val="20"/>
        </w:rPr>
        <w:t xml:space="preserve">No student, staff member, or parent may post negative content online that could bring the school into disrepute. This applies to all platforms, at all times.</w:t>
      </w:r>
    </w:p>
    <w:p>
      <w:pPr>
        <w:spacing w:after="100" w:before="60"/>
      </w:pPr>
      <w:r>
        <w:rPr>
          <w:rFonts w:ascii="Arial" w:cs="Arial" w:eastAsia="Arial" w:hAnsi="Arial"/>
          <w:color w:val="444444"/>
          <w:sz w:val="20"/>
          <w:szCs w:val="20"/>
        </w:rPr>
        <w:t xml:space="preserve">All students, parents, and staff sign an Acceptable Use Policy (AUP) on enrolment and at the start of each academic year. Signed AUPs are mandatory — no student may access school technology without a current, signed AUP on file.</w:t>
      </w:r>
    </w:p>
    <w:p>
      <w:pPr>
        <w:pStyle w:val="Heading2"/>
        <w:spacing w:after="110" w:before="240"/>
      </w:pPr>
      <w:r>
        <w:rPr>
          <w:rFonts w:ascii="Arial" w:cs="Arial" w:eastAsia="Arial" w:hAnsi="Arial"/>
          <w:b/>
          <w:bCs/>
          <w:color w:val="1B3A6B"/>
          <w:sz w:val="26"/>
          <w:szCs w:val="26"/>
        </w:rPr>
        <w:t xml:space="preserve">Equal Opportunities &amp; Inclusion</w:t>
      </w:r>
    </w:p>
    <w:p>
      <w:pPr>
        <w:spacing w:after="100" w:before="60"/>
      </w:pPr>
      <w:r>
        <w:rPr>
          <w:rFonts w:ascii="Arial" w:cs="Arial" w:eastAsia="Arial" w:hAnsi="Arial"/>
          <w:color w:val="444444"/>
          <w:sz w:val="20"/>
          <w:szCs w:val="20"/>
        </w:rPr>
        <w:t xml:space="preserve">TOWIS is an inclusive school. Every student, regardless of age, disability, gender, race, religion, belief, or background, has an equal right to a safe, high-quality education and to protection from harm. Students with special educational needs, disabilities, or additional vulnerabilities receive targeted support through our SEND &amp; Inclusion framework.</w:t>
      </w:r>
    </w:p>
    <w:p>
      <w:pPr>
        <w:pStyle w:val="Heading2"/>
        <w:spacing w:after="110" w:before="240"/>
      </w:pPr>
      <w:r>
        <w:rPr>
          <w:rFonts w:ascii="Arial" w:cs="Arial" w:eastAsia="Arial" w:hAnsi="Arial"/>
          <w:b/>
          <w:bCs/>
          <w:color w:val="1B3A6B"/>
          <w:sz w:val="26"/>
          <w:szCs w:val="26"/>
        </w:rPr>
        <w:t xml:space="preserve">Health &amp; Safety</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2526"/>
        <w:gridCol w:w="7580"/>
      </w:tblGrid>
      <w:tr>
        <w:tc>
          <w:tcPr>
            <w:tcW w:type="dxa" w:w="2526"/>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Area</w:t>
            </w:r>
          </w:p>
        </w:tc>
        <w:tc>
          <w:tcPr>
            <w:tcW w:type="dxa" w:w="7580"/>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Details</w:t>
            </w:r>
          </w:p>
        </w:tc>
      </w:tr>
      <w:tr>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First Aid</w:t>
            </w:r>
          </w:p>
        </w:tc>
        <w:tc>
          <w:tcPr>
            <w:tcW w:type="dxa" w:w="7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 certified school nurse is on-site throughout the school day. First aid kits are located across the campus. The school has a partnership with a nearby hospital for emergency referrals.</w:t>
            </w:r>
          </w:p>
        </w:tc>
      </w:tr>
      <w:tr>
        <w:tc>
          <w:tcPr>
            <w:tcW w:type="dxa" w:w="252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Fire Safety</w:t>
            </w:r>
          </w:p>
        </w:tc>
        <w:tc>
          <w:tcPr>
            <w:tcW w:type="dxa" w:w="75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Fire alarms, fire extinguishers, and evacuation routes are installed throughout the school. Evacuation drills are conducted each term.</w:t>
            </w:r>
          </w:p>
        </w:tc>
      </w:tr>
      <w:tr>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Emergency Evacuation</w:t>
            </w:r>
          </w:p>
        </w:tc>
        <w:tc>
          <w:tcPr>
            <w:tcW w:type="dxa" w:w="7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Assembly point: outside the front of the school, under the covered area. All students and staff practise evacuation drills each term.</w:t>
            </w:r>
          </w:p>
        </w:tc>
      </w:tr>
      <w:tr>
        <w:tc>
          <w:tcPr>
            <w:tcW w:type="dxa" w:w="252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Science Laboratory</w:t>
            </w:r>
          </w:p>
        </w:tc>
        <w:tc>
          <w:tcPr>
            <w:tcW w:type="dxa" w:w="75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Operates to full safety standards: circuit breaker, fume extraction, gas control, eyewash station, chemical storage, goggles, fire extinguisher, and first aid kit.</w:t>
            </w:r>
          </w:p>
        </w:tc>
      </w:tr>
      <w:tr>
        <w:tc>
          <w:tcPr>
            <w:tcW w:type="dxa" w:w="25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Risk Assessments</w:t>
            </w:r>
          </w:p>
        </w:tc>
        <w:tc>
          <w:tcPr>
            <w:tcW w:type="dxa" w:w="75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Regular risk assessments are carried out for all areas of the campus and for all off-site activities including field trips. All contractors must comply with the school’s safeguarding and H&amp;S requirements.</w:t>
            </w:r>
          </w:p>
        </w:tc>
      </w:tr>
    </w:tbl>
    <w:p>
      <w:pPr>
        <w:shd w:fill="1B3A6B" w:val="clear"/>
        <w:spacing w:after="0" w:before="0"/>
      </w:pPr>
      <w:r>
        <w:rPr>
          <w:rFonts w:ascii="Arial" w:cs="Arial" w:eastAsia="Arial" w:hAnsi="Arial"/>
          <w:b/>
          <w:bCs/>
          <w:caps/>
          <w:color w:val="FFFFFF"/>
          <w:sz w:val="34"/>
          <w:szCs w:val="34"/>
        </w:rPr>
        <w:t xml:space="preserve">Health &amp; Medical</w:t>
      </w:r>
    </w:p>
    <w:p>
      <w:pPr>
        <w:spacing w:after="80" w:before="160"/>
      </w:pPr>
    </w:p>
    <w:p>
      <w:pPr>
        <w:pStyle w:val="Heading2"/>
        <w:spacing w:after="110" w:before="240"/>
      </w:pPr>
      <w:r>
        <w:rPr>
          <w:rFonts w:ascii="Arial" w:cs="Arial" w:eastAsia="Arial" w:hAnsi="Arial"/>
          <w:b/>
          <w:bCs/>
          <w:color w:val="1B3A6B"/>
          <w:sz w:val="26"/>
          <w:szCs w:val="26"/>
        </w:rPr>
        <w:t xml:space="preserve">Medical Information</w:t>
      </w:r>
    </w:p>
    <w:p>
      <w:pPr>
        <w:spacing w:after="100" w:before="60"/>
      </w:pPr>
      <w:r>
        <w:rPr>
          <w:rFonts w:ascii="Arial" w:cs="Arial" w:eastAsia="Arial" w:hAnsi="Arial"/>
          <w:color w:val="444444"/>
          <w:sz w:val="20"/>
          <w:szCs w:val="20"/>
        </w:rPr>
        <w:t xml:space="preserve">At the point of enrolment, all parents complete and sign a Medical Information Form covering their child’s health history, known conditions, allergies, medications, and emergency contacts. It is your responsibility to ensure this information is kept up to date throughout the year.</w:t>
      </w:r>
    </w:p>
    <w:p>
      <w:pPr>
        <w:pStyle w:val="ListParagraph"/>
        <w:numPr>
          <w:ilvl w:val="0"/>
          <w:numId w:val="2"/>
        </w:numPr>
        <w:spacing w:after="40" w:before="40"/>
      </w:pPr>
      <w:r>
        <w:rPr>
          <w:rFonts w:ascii="Arial" w:cs="Arial" w:eastAsia="Arial" w:hAnsi="Arial"/>
          <w:color w:val="444444"/>
          <w:sz w:val="20"/>
          <w:szCs w:val="20"/>
        </w:rPr>
        <w:t xml:space="preserve">To update your child’s medical information: contact the school nurse at tr.theint.ei.phyu@towa.edu.mm</w:t>
      </w:r>
    </w:p>
    <w:p>
      <w:pPr>
        <w:pStyle w:val="ListParagraph"/>
        <w:numPr>
          <w:ilvl w:val="0"/>
          <w:numId w:val="2"/>
        </w:numPr>
        <w:spacing w:after="40" w:before="40"/>
      </w:pPr>
      <w:r>
        <w:rPr>
          <w:rFonts w:ascii="Arial" w:cs="Arial" w:eastAsia="Arial" w:hAnsi="Arial"/>
          <w:color w:val="444444"/>
          <w:sz w:val="20"/>
          <w:szCs w:val="20"/>
        </w:rPr>
        <w:t xml:space="preserve">Emergency contact details must include at least two responsible adults.</w:t>
      </w:r>
    </w:p>
    <w:p>
      <w:pPr>
        <w:pStyle w:val="Heading2"/>
        <w:spacing w:after="110" w:before="240"/>
      </w:pPr>
      <w:r>
        <w:rPr>
          <w:rFonts w:ascii="Arial" w:cs="Arial" w:eastAsia="Arial" w:hAnsi="Arial"/>
          <w:b/>
          <w:bCs/>
          <w:color w:val="1B3A6B"/>
          <w:sz w:val="26"/>
          <w:szCs w:val="26"/>
        </w:rPr>
        <w:t xml:space="preserve">Administering Medication</w:t>
      </w:r>
    </w:p>
    <w:p>
      <w:pPr>
        <w:spacing w:after="100" w:before="60"/>
      </w:pPr>
      <w:r>
        <w:rPr>
          <w:rFonts w:ascii="Arial" w:cs="Arial" w:eastAsia="Arial" w:hAnsi="Arial"/>
          <w:color w:val="444444"/>
          <w:sz w:val="20"/>
          <w:szCs w:val="20"/>
        </w:rPr>
        <w:t xml:space="preserve">If your child requires medication during the school day, a signed Medication Consent Form must be completed before any medication can be administered.</w:t>
      </w:r>
    </w:p>
    <w:p>
      <w:pPr>
        <w:pStyle w:val="ListParagraph"/>
        <w:numPr>
          <w:ilvl w:val="0"/>
          <w:numId w:val="2"/>
        </w:numPr>
        <w:spacing w:after="40" w:before="40"/>
      </w:pPr>
      <w:r>
        <w:rPr>
          <w:rFonts w:ascii="Arial" w:cs="Arial" w:eastAsia="Arial" w:hAnsi="Arial"/>
          <w:color w:val="444444"/>
          <w:sz w:val="20"/>
          <w:szCs w:val="20"/>
        </w:rPr>
        <w:t xml:space="preserve">All medication must be provided in its original packaging with the child’s name clearly labelled.</w:t>
      </w:r>
    </w:p>
    <w:p>
      <w:pPr>
        <w:pStyle w:val="ListParagraph"/>
        <w:numPr>
          <w:ilvl w:val="0"/>
          <w:numId w:val="2"/>
        </w:numPr>
        <w:spacing w:after="40" w:before="40"/>
      </w:pPr>
      <w:r>
        <w:rPr>
          <w:rFonts w:ascii="Arial" w:cs="Arial" w:eastAsia="Arial" w:hAnsi="Arial"/>
          <w:color w:val="444444"/>
          <w:sz w:val="20"/>
          <w:szCs w:val="20"/>
        </w:rPr>
        <w:t xml:space="preserve">Medication is stored securely in the school clinic and administered only by the school nurse.</w:t>
      </w:r>
    </w:p>
    <w:p>
      <w:pPr>
        <w:pStyle w:val="ListParagraph"/>
        <w:numPr>
          <w:ilvl w:val="0"/>
          <w:numId w:val="2"/>
        </w:numPr>
        <w:spacing w:after="40" w:before="40"/>
      </w:pPr>
      <w:r>
        <w:rPr>
          <w:rFonts w:ascii="Arial" w:cs="Arial" w:eastAsia="Arial" w:hAnsi="Arial"/>
          <w:color w:val="444444"/>
          <w:sz w:val="20"/>
          <w:szCs w:val="20"/>
        </w:rPr>
        <w:t xml:space="preserve">Self-administered medication (e.g. inhalers, EpiPens) must be registered with the nurse and an individual care plan agreed.</w:t>
      </w:r>
    </w:p>
    <w:p>
      <w:pPr>
        <w:pStyle w:val="Heading2"/>
        <w:spacing w:after="110" w:before="240"/>
      </w:pPr>
      <w:r>
        <w:rPr>
          <w:rFonts w:ascii="Arial" w:cs="Arial" w:eastAsia="Arial" w:hAnsi="Arial"/>
          <w:b/>
          <w:bCs/>
          <w:color w:val="1B3A6B"/>
          <w:sz w:val="26"/>
          <w:szCs w:val="26"/>
        </w:rPr>
        <w:t xml:space="preserve">Illness During School</w:t>
      </w:r>
    </w:p>
    <w:p>
      <w:pPr>
        <w:spacing w:after="100" w:before="60"/>
      </w:pPr>
      <w:r>
        <w:rPr>
          <w:rFonts w:ascii="Arial" w:cs="Arial" w:eastAsia="Arial" w:hAnsi="Arial"/>
          <w:color w:val="444444"/>
          <w:sz w:val="20"/>
          <w:szCs w:val="20"/>
        </w:rPr>
        <w:t xml:space="preserve">Please do not send your child to school if they are unwell. As a general guide:</w:t>
      </w:r>
    </w:p>
    <w:p>
      <w:pPr>
        <w:pStyle w:val="ListParagraph"/>
        <w:numPr>
          <w:ilvl w:val="0"/>
          <w:numId w:val="2"/>
        </w:numPr>
        <w:spacing w:after="40" w:before="40"/>
      </w:pPr>
      <w:r>
        <w:rPr>
          <w:rFonts w:ascii="Arial" w:cs="Arial" w:eastAsia="Arial" w:hAnsi="Arial"/>
          <w:color w:val="444444"/>
          <w:sz w:val="20"/>
          <w:szCs w:val="20"/>
        </w:rPr>
        <w:t xml:space="preserve">Vomiting or diarrhoea — keep at home for at least 48 hours after the last episode.</w:t>
      </w:r>
    </w:p>
    <w:p>
      <w:pPr>
        <w:pStyle w:val="ListParagraph"/>
        <w:numPr>
          <w:ilvl w:val="0"/>
          <w:numId w:val="2"/>
        </w:numPr>
        <w:spacing w:after="40" w:before="40"/>
      </w:pPr>
      <w:r>
        <w:rPr>
          <w:rFonts w:ascii="Arial" w:cs="Arial" w:eastAsia="Arial" w:hAnsi="Arial"/>
          <w:color w:val="444444"/>
          <w:sz w:val="20"/>
          <w:szCs w:val="20"/>
        </w:rPr>
        <w:t xml:space="preserve">Fever — keep at home until fever-free for 24 hours without medication.</w:t>
      </w:r>
    </w:p>
    <w:p>
      <w:pPr>
        <w:spacing w:after="100" w:before="60"/>
      </w:pPr>
      <w:r>
        <w:rPr>
          <w:rFonts w:ascii="Arial" w:cs="Arial" w:eastAsia="Arial" w:hAnsi="Arial"/>
          <w:color w:val="444444"/>
          <w:sz w:val="20"/>
          <w:szCs w:val="20"/>
        </w:rPr>
        <w:t xml:space="preserve">If your child becomes unwell during the school day, the school nurse will provide immediate first aid and parents will be contacted promptly. Please ensure your emergency contact details are always up to date with Reception.</w:t>
      </w:r>
    </w:p>
    <w:p>
      <w:pPr>
        <w:pStyle w:val="Heading2"/>
        <w:spacing w:after="110" w:before="240"/>
      </w:pPr>
      <w:r>
        <w:rPr>
          <w:rFonts w:ascii="Arial" w:cs="Arial" w:eastAsia="Arial" w:hAnsi="Arial"/>
          <w:b/>
          <w:bCs/>
          <w:color w:val="1B3A6B"/>
          <w:sz w:val="26"/>
          <w:szCs w:val="26"/>
        </w:rPr>
        <w:t xml:space="preserve">Allergies &amp; Medical Conditions</w:t>
      </w:r>
    </w:p>
    <w:p>
      <w:pPr>
        <w:spacing w:after="100" w:before="60"/>
      </w:pPr>
      <w:r>
        <w:rPr>
          <w:rFonts w:ascii="Arial" w:cs="Arial" w:eastAsia="Arial" w:hAnsi="Arial"/>
          <w:color w:val="444444"/>
          <w:sz w:val="20"/>
          <w:szCs w:val="20"/>
        </w:rPr>
        <w:t xml:space="preserve">All known allergies and medical conditions are recorded on the Medical Information Form at enrolment. Parents must declare all known allergies and update the school immediately if a new allergy is identified.</w:t>
      </w:r>
    </w:p>
    <w:p>
      <w:pPr>
        <w:pStyle w:val="ListParagraph"/>
        <w:numPr>
          <w:ilvl w:val="0"/>
          <w:numId w:val="2"/>
        </w:numPr>
        <w:spacing w:after="40" w:before="40"/>
      </w:pPr>
      <w:r>
        <w:rPr>
          <w:rFonts w:ascii="Arial" w:cs="Arial" w:eastAsia="Arial" w:hAnsi="Arial"/>
          <w:color w:val="444444"/>
          <w:sz w:val="20"/>
          <w:szCs w:val="20"/>
        </w:rPr>
        <w:t xml:space="preserve">Students with severe allergies (e.g. anaphylaxis) must have a current EpiPen on school premises at all times, registered with the school nurse.</w:t>
      </w:r>
    </w:p>
    <w:p>
      <w:pPr>
        <w:pStyle w:val="ListParagraph"/>
        <w:numPr>
          <w:ilvl w:val="0"/>
          <w:numId w:val="2"/>
        </w:numPr>
        <w:spacing w:after="40" w:before="40"/>
      </w:pPr>
      <w:r>
        <w:rPr>
          <w:rFonts w:ascii="Arial" w:cs="Arial" w:eastAsia="Arial" w:hAnsi="Arial"/>
          <w:color w:val="444444"/>
          <w:sz w:val="20"/>
          <w:szCs w:val="20"/>
        </w:rPr>
        <w:t xml:space="preserve">Individual healthcare plans are agreed between parents and the school nurse and shared with relevant staff on a need-to-know basis.</w:t>
      </w:r>
    </w:p>
    <w:p>
      <w:pPr>
        <w:pStyle w:val="Heading2"/>
        <w:spacing w:after="110" w:before="240"/>
      </w:pPr>
      <w:r>
        <w:rPr>
          <w:rFonts w:ascii="Arial" w:cs="Arial" w:eastAsia="Arial" w:hAnsi="Arial"/>
          <w:b/>
          <w:bCs/>
          <w:color w:val="1B3A6B"/>
          <w:sz w:val="26"/>
          <w:szCs w:val="26"/>
        </w:rPr>
        <w:t xml:space="preserve">School Meals &amp; Canteen</w:t>
      </w:r>
    </w:p>
    <w:p>
      <w:pPr>
        <w:spacing w:after="100" w:before="60"/>
      </w:pPr>
      <w:r>
        <w:rPr>
          <w:rFonts w:ascii="Arial" w:cs="Arial" w:eastAsia="Arial" w:hAnsi="Arial"/>
          <w:color w:val="444444"/>
          <w:sz w:val="20"/>
          <w:szCs w:val="20"/>
        </w:rPr>
        <w:t xml:space="preserve">TOWIS has an on-site canteen. Students are welcome to bring their own food from home and eat in the canteen at lunch and break times. Packed food should be healthy, balanced, and nut-aware.</w:t>
      </w:r>
    </w:p>
    <w:p>
      <w:pPr>
        <w:pStyle w:val="ListParagraph"/>
        <w:numPr>
          <w:ilvl w:val="0"/>
          <w:numId w:val="2"/>
        </w:numPr>
        <w:spacing w:after="40" w:before="40"/>
      </w:pPr>
      <w:r>
        <w:rPr>
          <w:rFonts w:ascii="Arial" w:cs="Arial" w:eastAsia="Arial" w:hAnsi="Arial"/>
          <w:color w:val="444444"/>
          <w:sz w:val="20"/>
          <w:szCs w:val="20"/>
        </w:rPr>
        <w:t xml:space="preserve">A selection of snack items is available for purchase in the canteen.</w:t>
      </w:r>
    </w:p>
    <w:p>
      <w:pPr>
        <w:pStyle w:val="ListParagraph"/>
        <w:numPr>
          <w:ilvl w:val="0"/>
          <w:numId w:val="2"/>
        </w:numPr>
        <w:spacing w:after="40" w:before="40"/>
      </w:pPr>
      <w:r>
        <w:rPr>
          <w:rFonts w:ascii="Arial" w:cs="Arial" w:eastAsia="Arial" w:hAnsi="Arial"/>
          <w:color w:val="444444"/>
          <w:sz w:val="20"/>
          <w:szCs w:val="20"/>
        </w:rPr>
        <w:t xml:space="preserve">All registered dietary requirements and allergies are shared with canteen staff.</w:t>
      </w:r>
    </w:p>
    <w:p>
      <w:pPr>
        <w:pStyle w:val="ListParagraph"/>
        <w:numPr>
          <w:ilvl w:val="0"/>
          <w:numId w:val="2"/>
        </w:numPr>
        <w:spacing w:after="40" w:before="40"/>
      </w:pPr>
      <w:r>
        <w:rPr>
          <w:rFonts w:ascii="Arial" w:cs="Arial" w:eastAsia="Arial" w:hAnsi="Arial"/>
          <w:color w:val="444444"/>
          <w:sz w:val="20"/>
          <w:szCs w:val="20"/>
        </w:rPr>
        <w:t xml:space="preserve">Students should not leave the canteen or school premises during lunch or break without prior authorisation.</w:t>
      </w:r>
    </w:p>
    <w:p>
      <w:pPr>
        <w:shd w:fill="1B3A6B" w:val="clear"/>
        <w:spacing w:after="0" w:before="0"/>
      </w:pPr>
      <w:r>
        <w:rPr>
          <w:rFonts w:ascii="Arial" w:cs="Arial" w:eastAsia="Arial" w:hAnsi="Arial"/>
          <w:b/>
          <w:bCs/>
          <w:caps/>
          <w:color w:val="FFFFFF"/>
          <w:sz w:val="34"/>
          <w:szCs w:val="34"/>
        </w:rPr>
        <w:t xml:space="preserve">Communication with the School</w:t>
      </w:r>
    </w:p>
    <w:p>
      <w:pPr>
        <w:spacing w:after="80" w:before="160"/>
      </w:pPr>
    </w:p>
    <w:p>
      <w:pPr>
        <w:spacing w:after="100" w:before="60"/>
      </w:pPr>
      <w:r>
        <w:rPr>
          <w:rFonts w:ascii="Arial" w:cs="Arial" w:eastAsia="Arial" w:hAnsi="Arial"/>
          <w:color w:val="444444"/>
          <w:sz w:val="20"/>
          <w:szCs w:val="20"/>
        </w:rPr>
        <w:t xml:space="preserve">At TOWIS, communication between home and school is essential. You know your child better than anyone. We know the curriculum, the classroom, and the school community. When we work together, sharing what we each see, your child gets the very best of both worlds. We are all on the same side. Always.</w:t>
      </w:r>
    </w:p>
    <w:p>
      <w:pPr>
        <w:pStyle w:val="Heading2"/>
        <w:spacing w:after="110" w:before="240"/>
      </w:pPr>
      <w:r>
        <w:rPr>
          <w:rFonts w:ascii="Arial" w:cs="Arial" w:eastAsia="Arial" w:hAnsi="Arial"/>
          <w:b/>
          <w:bCs/>
          <w:color w:val="1B3A6B"/>
          <w:sz w:val="26"/>
          <w:szCs w:val="26"/>
        </w:rPr>
        <w:t xml:space="preserve">ClassDojo — Our Primary Communication Platform</w:t>
      </w:r>
    </w:p>
    <w:p>
      <w:pPr>
        <w:spacing w:after="100" w:before="60"/>
      </w:pPr>
      <w:r>
        <w:rPr>
          <w:rFonts w:ascii="Arial" w:cs="Arial" w:eastAsia="Arial" w:hAnsi="Arial"/>
          <w:color w:val="444444"/>
          <w:sz w:val="20"/>
          <w:szCs w:val="20"/>
        </w:rPr>
        <w:t xml:space="preserve">The main channel for home-school communication is ClassDojo — a free app available on iOS and Android. Every family receives a personal invitation to join when their child enrols.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031"/>
        <w:gridCol w:w="7075"/>
      </w:tblGrid>
      <w:tr>
        <w:tc>
          <w:tcPr>
            <w:tcW w:type="dxa" w:w="303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Feature</w:t>
            </w:r>
          </w:p>
        </w:tc>
        <w:tc>
          <w:tcPr>
            <w:tcW w:type="dxa" w:w="7075"/>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What it is for</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Class Story</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Teacher shares updates, photos, learning highlights, and reminders with the whole class.</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School Story</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The school shares whole-school news, events, and announcements.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Direct Messages</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Private messaging between you and your child’s teacher. Best for questions and concerns.</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School Calendar</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key dates — reports, conferences, events, holidays — in one place, always up to date.</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Principal’s Weekly Letter</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Mr. Madine sends a personal letter every week to all families via ClassDojo.</w:t>
            </w:r>
          </w:p>
        </w:tc>
      </w:tr>
    </w:tbl>
    <w:p>
      <w:pPr>
        <w:pStyle w:val="Heading2"/>
        <w:spacing w:after="110" w:before="240"/>
      </w:pPr>
      <w:r>
        <w:rPr>
          <w:rFonts w:ascii="Arial" w:cs="Arial" w:eastAsia="Arial" w:hAnsi="Arial"/>
          <w:b/>
          <w:bCs/>
          <w:color w:val="1B3A6B"/>
          <w:sz w:val="26"/>
          <w:szCs w:val="26"/>
        </w:rPr>
        <w:t xml:space="preserve">Homeroom Teachers — Your First Point of Contact</w:t>
      </w:r>
    </w:p>
    <w:p>
      <w:pPr>
        <w:spacing w:after="100" w:before="60"/>
      </w:pPr>
      <w:r>
        <w:rPr>
          <w:rFonts w:ascii="Arial" w:cs="Arial" w:eastAsia="Arial" w:hAnsi="Arial"/>
          <w:color w:val="444444"/>
          <w:sz w:val="20"/>
          <w:szCs w:val="20"/>
        </w:rPr>
        <w:t xml:space="preserve">Every student belongs to a Homeroom led by a dedicated Homeroom Teacher, who takes the register each morning, oversees your child’s wellbeing and progress across all three ACE pillars, and is your primary point of contact. Whether it is a question about progress, a concern about friendship, a change at home, or anything else — always contact the Homeroom Teacher first.</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4042"/>
        <w:gridCol w:w="6064"/>
      </w:tblGrid>
      <w:tr>
        <w:tc>
          <w:tcPr>
            <w:tcW w:type="dxa" w:w="4042"/>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How to reach your Homeroom Teacher</w:t>
            </w:r>
          </w:p>
        </w:tc>
        <w:tc>
          <w:tcPr>
            <w:tcW w:type="dxa" w:w="6064"/>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Details</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Via ClassDojo</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Direct Message (preferred) — available from your class page.</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Via Email</w:t>
            </w:r>
          </w:p>
        </w:tc>
        <w:tc>
          <w:tcPr>
            <w:tcW w:type="dxa" w:w="606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teacher email addresses shared at the start of each academic year and available from Reception.</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Response time</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Homeroom Teachers aim to respond within one working day during school hours.</w:t>
            </w:r>
          </w:p>
        </w:tc>
      </w:tr>
    </w:tbl>
    <w:p>
      <w:pPr>
        <w:pStyle w:val="Heading2"/>
        <w:spacing w:after="110" w:before="240"/>
      </w:pPr>
      <w:r>
        <w:rPr>
          <w:rFonts w:ascii="Arial" w:cs="Arial" w:eastAsia="Arial" w:hAnsi="Arial"/>
          <w:b/>
          <w:bCs/>
          <w:color w:val="1B3A6B"/>
          <w:sz w:val="26"/>
          <w:szCs w:val="26"/>
        </w:rPr>
        <w:t xml:space="preserve">Subject Teachers</w:t>
      </w:r>
    </w:p>
    <w:p>
      <w:pPr>
        <w:spacing w:after="100" w:before="60"/>
      </w:pPr>
      <w:r>
        <w:rPr>
          <w:rFonts w:ascii="Arial" w:cs="Arial" w:eastAsia="Arial" w:hAnsi="Arial"/>
          <w:color w:val="444444"/>
          <w:sz w:val="20"/>
          <w:szCs w:val="20"/>
        </w:rPr>
        <w:t xml:space="preserve">If your question or concern is specific to a particular subject — a grade, a piece of work, homework, or an assessment — please contact the relevant subject teacher directly via ClassDojo or email. Your Homeroom Teacher can help you identify the right teacher if you are unsure.</w:t>
      </w:r>
    </w:p>
    <w:p>
      <w:pPr>
        <w:pStyle w:val="Heading2"/>
        <w:spacing w:after="110" w:before="240"/>
      </w:pPr>
      <w:r>
        <w:rPr>
          <w:rFonts w:ascii="Arial" w:cs="Arial" w:eastAsia="Arial" w:hAnsi="Arial"/>
          <w:b/>
          <w:bCs/>
          <w:color w:val="1B3A6B"/>
          <w:sz w:val="26"/>
          <w:szCs w:val="26"/>
        </w:rPr>
        <w:t xml:space="preserve">Other Ways to Get in Touch</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031"/>
        <w:gridCol w:w="7075"/>
      </w:tblGrid>
      <w:tr>
        <w:tc>
          <w:tcPr>
            <w:tcW w:type="dxa" w:w="303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Channel</w:t>
            </w:r>
          </w:p>
        </w:tc>
        <w:tc>
          <w:tcPr>
            <w:tcW w:type="dxa" w:w="7075"/>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Details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Teacher Email</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Every teacher has a school email address, shared at the start of the year and available from Reception.</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Phone</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Reception: +95 9 45063 4402  |  268 Min Gyi Road, Yangon 11011</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In Person</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Always welcome to visit Reception. For a teacher or Principal meeting, we recommend arranging a time in advance.</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Principal — Mr. Madine</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headmaster@towa.edu.mm  |  ClassDojo  |  In person via Reception</w:t>
            </w:r>
          </w:p>
        </w:tc>
      </w:tr>
    </w:tbl>
    <w:p>
      <w:pPr>
        <w:pStyle w:val="Heading2"/>
        <w:spacing w:after="110" w:before="240"/>
      </w:pPr>
      <w:r>
        <w:rPr>
          <w:rFonts w:ascii="Arial" w:cs="Arial" w:eastAsia="Arial" w:hAnsi="Arial"/>
          <w:b/>
          <w:bCs/>
          <w:color w:val="1B3A6B"/>
          <w:sz w:val="26"/>
          <w:szCs w:val="26"/>
        </w:rPr>
        <w:t xml:space="preserve">Parent–Teacher–Student Conferences</w:t>
      </w:r>
    </w:p>
    <w:p>
      <w:pPr>
        <w:spacing w:after="100" w:before="60"/>
      </w:pPr>
      <w:r>
        <w:rPr>
          <w:rFonts w:ascii="Arial" w:cs="Arial" w:eastAsia="Arial" w:hAnsi="Arial"/>
          <w:color w:val="444444"/>
          <w:sz w:val="20"/>
          <w:szCs w:val="20"/>
        </w:rPr>
        <w:t xml:space="preserve">Four times per year — after each quarterly Progress Report — we hold formal conferences to review progress across all three ACE pillars, discuss Next Steps, and agree how home and school will work together. Students are encouraged to attend and take an active role.</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6569"/>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Conference</w:t>
            </w:r>
          </w:p>
        </w:tc>
        <w:tc>
          <w:tcPr>
            <w:tcW w:type="dxa" w:w="656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When</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Conference 1</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Following Quarter 1 report — October</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Conference 2</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Following Quarter 2 report — December</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Conference 3</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Following Quarter 3 report — March</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Conference 4</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Following Quarter 4 report — June</w:t>
            </w:r>
          </w:p>
        </w:tc>
      </w:tr>
    </w:tbl>
    <w:p>
      <w:pPr>
        <w:spacing w:after="100" w:before="60"/>
      </w:pPr>
      <w:r>
        <w:rPr>
          <w:rFonts w:ascii="Arial" w:cs="Arial" w:eastAsia="Arial" w:hAnsi="Arial"/>
          <w:color w:val="444444"/>
          <w:sz w:val="20"/>
          <w:szCs w:val="20"/>
        </w:rPr>
        <w:t xml:space="preserve">You do not need to wait for a conference. If something is on your mind, please contact us straight away.</w:t>
      </w:r>
    </w:p>
    <w:p>
      <w:pPr>
        <w:pStyle w:val="Heading2"/>
        <w:spacing w:after="110" w:before="240"/>
      </w:pPr>
      <w:r>
        <w:rPr>
          <w:rFonts w:ascii="Arial" w:cs="Arial" w:eastAsia="Arial" w:hAnsi="Arial"/>
          <w:b/>
          <w:bCs/>
          <w:color w:val="1B3A6B"/>
          <w:sz w:val="26"/>
          <w:szCs w:val="26"/>
        </w:rPr>
        <w:t xml:space="preserve">Parent Surveys &amp; Feedback</w:t>
      </w:r>
    </w:p>
    <w:p>
      <w:pPr>
        <w:spacing w:after="100" w:before="60"/>
      </w:pPr>
      <w:r>
        <w:rPr>
          <w:rFonts w:ascii="Arial" w:cs="Arial" w:eastAsia="Arial" w:hAnsi="Arial"/>
          <w:color w:val="444444"/>
          <w:sz w:val="20"/>
          <w:szCs w:val="20"/>
        </w:rPr>
        <w:t xml:space="preserve">TOWIS actively seeks feedback from parents throughout the year via ClassDojo surveys covering satisfaction, events, teaching and learning, communication, and school culture. Surveys are quick and confidential, and results are always reviewed by the Principal and leadership team.</w:t>
      </w:r>
    </w:p>
    <w:p>
      <w:pPr>
        <w:pStyle w:val="ListParagraph"/>
        <w:numPr>
          <w:ilvl w:val="0"/>
          <w:numId w:val="2"/>
        </w:numPr>
        <w:spacing w:after="40" w:before="40"/>
      </w:pPr>
      <w:r>
        <w:rPr>
          <w:rFonts w:ascii="Arial" w:cs="Arial" w:eastAsia="Arial" w:hAnsi="Arial"/>
          <w:color w:val="444444"/>
          <w:sz w:val="20"/>
          <w:szCs w:val="20"/>
        </w:rPr>
        <w:t xml:space="preserve">Surveys are shared via ClassDojo — look out for the link in the School Story or as a Direct Message.</w:t>
      </w:r>
    </w:p>
    <w:p>
      <w:pPr>
        <w:pStyle w:val="ListParagraph"/>
        <w:numPr>
          <w:ilvl w:val="0"/>
          <w:numId w:val="2"/>
        </w:numPr>
        <w:spacing w:after="40" w:before="40"/>
      </w:pPr>
      <w:r>
        <w:rPr>
          <w:rFonts w:ascii="Arial" w:cs="Arial" w:eastAsia="Arial" w:hAnsi="Arial"/>
          <w:color w:val="444444"/>
          <w:sz w:val="20"/>
          <w:szCs w:val="20"/>
        </w:rPr>
        <w:t xml:space="preserve">All surveys are anonymous unless you choose to identify yourself.</w:t>
      </w:r>
    </w:p>
    <w:p>
      <w:pPr>
        <w:pStyle w:val="ListParagraph"/>
        <w:numPr>
          <w:ilvl w:val="0"/>
          <w:numId w:val="2"/>
        </w:numPr>
        <w:spacing w:after="40" w:before="40"/>
      </w:pPr>
      <w:r>
        <w:rPr>
          <w:rFonts w:ascii="Arial" w:cs="Arial" w:eastAsia="Arial" w:hAnsi="Arial"/>
          <w:color w:val="444444"/>
          <w:sz w:val="20"/>
          <w:szCs w:val="20"/>
        </w:rPr>
        <w:t xml:space="preserve">Results and any actions taken are shared back with parents — we believe in closing the feedback loop.</w:t>
      </w:r>
    </w:p>
    <w:p>
      <w:pPr>
        <w:pStyle w:val="ListParagraph"/>
        <w:numPr>
          <w:ilvl w:val="0"/>
          <w:numId w:val="2"/>
        </w:numPr>
        <w:spacing w:after="40" w:before="40"/>
      </w:pPr>
      <w:r>
        <w:rPr>
          <w:rFonts w:ascii="Arial" w:cs="Arial" w:eastAsia="Arial" w:hAnsi="Arial"/>
          <w:color w:val="444444"/>
          <w:sz w:val="20"/>
          <w:szCs w:val="20"/>
        </w:rPr>
        <w:t xml:space="preserve">You do not need to wait for a survey to share feedback — contact Mr. Madine directly at any time.</w:t>
      </w:r>
    </w:p>
    <w:p>
      <w:pPr>
        <w:pStyle w:val="Heading2"/>
        <w:spacing w:after="110" w:before="240"/>
      </w:pPr>
      <w:r>
        <w:rPr>
          <w:rFonts w:ascii="Arial" w:cs="Arial" w:eastAsia="Arial" w:hAnsi="Arial"/>
          <w:b/>
          <w:bCs/>
          <w:color w:val="1B3A6B"/>
          <w:sz w:val="26"/>
          <w:szCs w:val="26"/>
        </w:rPr>
        <w:t xml:space="preserve">A Note on Communication Hours</w:t>
      </w:r>
    </w:p>
    <w:p>
      <w:pPr>
        <w:spacing w:after="100" w:before="60"/>
      </w:pPr>
      <w:r>
        <w:rPr>
          <w:rFonts w:ascii="Arial" w:cs="Arial" w:eastAsia="Arial" w:hAnsi="Arial"/>
          <w:color w:val="444444"/>
          <w:sz w:val="20"/>
          <w:szCs w:val="20"/>
        </w:rPr>
        <w:t xml:space="preserve">We are committed to being open and accessible — and we also ask families to respect the boundaries that allow our staff to be at their best for your children. Please direct all communication through school channels during school hours. Please do not contact teachers or staff on personal numbers or social media. Messages received outside school hours will be responded to on the next working day.</w:t>
      </w:r>
    </w:p>
    <w:p>
      <w:pPr>
        <w:pStyle w:val="Heading2"/>
        <w:spacing w:after="110" w:before="240"/>
      </w:pPr>
      <w:r>
        <w:rPr>
          <w:rFonts w:ascii="Arial" w:cs="Arial" w:eastAsia="Arial" w:hAnsi="Arial"/>
          <w:b/>
          <w:bCs/>
          <w:color w:val="1B3A6B"/>
          <w:sz w:val="26"/>
          <w:szCs w:val="26"/>
        </w:rPr>
        <w:t xml:space="preserve">School Leadership &amp; Administration</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4042"/>
        <w:gridCol w:w="3537"/>
        <w:gridCol w:w="2527"/>
      </w:tblGrid>
      <w:tr>
        <w:tc>
          <w:tcPr>
            <w:tcW w:type="dxa" w:w="4042"/>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Name &amp; Role</w:t>
            </w:r>
          </w:p>
        </w:tc>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Email</w:t>
            </w:r>
          </w:p>
        </w:tc>
        <w:tc>
          <w:tcPr>
            <w:tcW w:type="dxa" w:w="252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Best Contact Method</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Mr. Jarlath Madine — Principal &amp; Safeguarding Lead</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headmaster@towa.edu.mm</w:t>
            </w:r>
          </w:p>
        </w:tc>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ClassDojo / Phone</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Dr. Hnin Mar Aung — Deputy Principal</w:t>
            </w:r>
          </w:p>
        </w:tc>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deputyprincipal@towa.edu.mm</w:t>
            </w:r>
          </w:p>
        </w:tc>
        <w:tc>
          <w:tcPr>
            <w:tcW w:type="dxa" w:w="252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Phone / Email</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Ms. Moe Moe Khaing — Child Protection Officer</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tr.moe.moe@towa.edu.mm</w:t>
            </w:r>
          </w:p>
        </w:tc>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Room 101 / Email</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Admissions</w:t>
            </w:r>
          </w:p>
        </w:tc>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admissions@owis-yangon.com</w:t>
            </w:r>
          </w:p>
        </w:tc>
        <w:tc>
          <w:tcPr>
            <w:tcW w:type="dxa" w:w="252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Email / Phone</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Finance / Fees</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finance@towa.edu.mm</w:t>
            </w:r>
          </w:p>
        </w:tc>
        <w:tc>
          <w:tcPr>
            <w:tcW w:type="dxa" w:w="252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Email / Phone</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Ms. Nway Nway Myint Han — Receptionist</w:t>
            </w:r>
          </w:p>
        </w:tc>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receptionist@towa.edu.mm</w:t>
            </w:r>
          </w:p>
        </w:tc>
        <w:tc>
          <w:tcPr>
            <w:tcW w:type="dxa" w:w="252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+95 9 45063 4402</w:t>
            </w:r>
          </w:p>
        </w:tc>
      </w:tr>
    </w:tbl>
    <w:p>
      <w:pPr>
        <w:pStyle w:val="Heading2"/>
        <w:spacing w:after="110" w:before="240"/>
      </w:pPr>
      <w:r>
        <w:rPr>
          <w:rFonts w:ascii="Arial" w:cs="Arial" w:eastAsia="Arial" w:hAnsi="Arial"/>
          <w:b/>
          <w:bCs/>
          <w:color w:val="1B3A6B"/>
          <w:sz w:val="26"/>
          <w:szCs w:val="26"/>
        </w:rPr>
        <w:t xml:space="preserve">Teaching Staff Directory</w:t>
      </w:r>
    </w:p>
    <w:p>
      <w:pPr>
        <w:pStyle w:val="Heading3"/>
        <w:spacing w:after="70" w:before="170"/>
      </w:pPr>
      <w:r>
        <w:rPr>
          <w:rFonts w:ascii="Arial" w:cs="Arial" w:eastAsia="Arial" w:hAnsi="Arial"/>
          <w:b/>
          <w:bCs/>
          <w:color w:val="2A7F8F"/>
          <w:sz w:val="22"/>
          <w:szCs w:val="22"/>
        </w:rPr>
        <w:t xml:space="preserve">Homeroom Teachers 2026–2027</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1819"/>
        <w:gridCol w:w="3537"/>
        <w:gridCol w:w="4750"/>
      </w:tblGrid>
      <w:tr>
        <w:tc>
          <w:tcPr>
            <w:tcW w:type="dxa" w:w="181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Year Group</w:t>
            </w:r>
          </w:p>
        </w:tc>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Homeroom Teacher</w:t>
            </w:r>
          </w:p>
        </w:tc>
        <w:tc>
          <w:tcPr>
            <w:tcW w:type="dxa" w:w="4750"/>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Email</w:t>
            </w:r>
          </w:p>
        </w:tc>
      </w:tr>
      <w:tr>
        <w:tc>
          <w:tcPr>
            <w:tcW w:type="dxa" w:w="18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EYFS 1 &amp; 2</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Ms. Nang Seng</w:t>
            </w:r>
          </w:p>
        </w:tc>
        <w:tc>
          <w:tcPr>
            <w:tcW w:type="dxa" w:w="475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tr.nang.seng@towa.edu.mm</w:t>
            </w:r>
          </w:p>
        </w:tc>
      </w:tr>
      <w:tr>
        <w:tc>
          <w:tcPr>
            <w:tcW w:type="dxa" w:w="181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1</w:t>
            </w:r>
          </w:p>
        </w:tc>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Ms. Wai Thi Zaw Oo</w:t>
            </w:r>
          </w:p>
        </w:tc>
        <w:tc>
          <w:tcPr>
            <w:tcW w:type="dxa" w:w="475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waithizawoo009@gmail.com</w:t>
            </w:r>
          </w:p>
        </w:tc>
      </w:tr>
      <w:tr>
        <w:tc>
          <w:tcPr>
            <w:tcW w:type="dxa" w:w="18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2</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Ms. Hnin Pyae Sone Khin</w:t>
            </w:r>
          </w:p>
        </w:tc>
        <w:tc>
          <w:tcPr>
            <w:tcW w:type="dxa" w:w="475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tr.hninn.pyae.son.khin@towa.edu.mm</w:t>
            </w:r>
          </w:p>
        </w:tc>
      </w:tr>
      <w:tr>
        <w:tc>
          <w:tcPr>
            <w:tcW w:type="dxa" w:w="181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3</w:t>
            </w:r>
          </w:p>
        </w:tc>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Ms. Cherry</w:t>
            </w:r>
          </w:p>
        </w:tc>
        <w:tc>
          <w:tcPr>
            <w:tcW w:type="dxa" w:w="475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trcherry94@gmail.com</w:t>
            </w:r>
          </w:p>
        </w:tc>
      </w:tr>
      <w:tr>
        <w:tc>
          <w:tcPr>
            <w:tcW w:type="dxa" w:w="18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4</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Ms. Moe Moe Khaing</w:t>
            </w:r>
          </w:p>
        </w:tc>
        <w:tc>
          <w:tcPr>
            <w:tcW w:type="dxa" w:w="475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tr.moe.moe@towa.edu.mm</w:t>
            </w:r>
          </w:p>
        </w:tc>
      </w:tr>
      <w:tr>
        <w:tc>
          <w:tcPr>
            <w:tcW w:type="dxa" w:w="181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5</w:t>
            </w:r>
          </w:p>
        </w:tc>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Ms. Ki Laing</w:t>
            </w:r>
          </w:p>
        </w:tc>
        <w:tc>
          <w:tcPr>
            <w:tcW w:type="dxa" w:w="475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tr.ki.liang@towa.edu.mm</w:t>
            </w:r>
          </w:p>
        </w:tc>
      </w:tr>
      <w:tr>
        <w:tc>
          <w:tcPr>
            <w:tcW w:type="dxa" w:w="18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6</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Ms. Naw Thandar Soe</w:t>
            </w:r>
          </w:p>
        </w:tc>
        <w:tc>
          <w:tcPr>
            <w:tcW w:type="dxa" w:w="475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assistantteacher.towis@gmail.com</w:t>
            </w:r>
          </w:p>
        </w:tc>
      </w:tr>
      <w:tr>
        <w:tc>
          <w:tcPr>
            <w:tcW w:type="dxa" w:w="181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7</w:t>
            </w:r>
          </w:p>
        </w:tc>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Mr. David Gibson</w:t>
            </w:r>
          </w:p>
        </w:tc>
        <w:tc>
          <w:tcPr>
            <w:tcW w:type="dxa" w:w="475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tr.david.gibson@towa.edu.mm</w:t>
            </w:r>
          </w:p>
        </w:tc>
      </w:tr>
      <w:tr>
        <w:tc>
          <w:tcPr>
            <w:tcW w:type="dxa" w:w="18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8</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Ms. Phyu Phyu Khaing</w:t>
            </w:r>
          </w:p>
        </w:tc>
        <w:tc>
          <w:tcPr>
            <w:tcW w:type="dxa" w:w="475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tr.phyu.phyu@towa.edu.mm</w:t>
            </w:r>
          </w:p>
        </w:tc>
      </w:tr>
      <w:tr>
        <w:tc>
          <w:tcPr>
            <w:tcW w:type="dxa" w:w="181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9</w:t>
            </w:r>
          </w:p>
        </w:tc>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[To be confirmed — please contact Reception]</w:t>
            </w:r>
          </w:p>
        </w:tc>
        <w:tc>
          <w:tcPr>
            <w:tcW w:type="dxa" w:w="475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admissions@owis-yangon.com</w:t>
            </w:r>
          </w:p>
        </w:tc>
      </w:tr>
      <w:tr>
        <w:tc>
          <w:tcPr>
            <w:tcW w:type="dxa" w:w="181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10</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[To be confirmed — please contact Reception]</w:t>
            </w:r>
          </w:p>
        </w:tc>
        <w:tc>
          <w:tcPr>
            <w:tcW w:type="dxa" w:w="475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admissions@owis-yangon.com</w:t>
            </w:r>
          </w:p>
        </w:tc>
      </w:tr>
      <w:tr>
        <w:tc>
          <w:tcPr>
            <w:tcW w:type="dxa" w:w="181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11</w:t>
            </w:r>
          </w:p>
        </w:tc>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Mr. Paul Chambers</w:t>
            </w:r>
          </w:p>
        </w:tc>
        <w:tc>
          <w:tcPr>
            <w:tcW w:type="dxa" w:w="475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headofscience@towa.edu.mm</w:t>
            </w:r>
          </w:p>
        </w:tc>
      </w:tr>
    </w:tbl>
    <w:p>
      <w:pPr>
        <w:pStyle w:val="Heading3"/>
        <w:spacing w:after="70" w:before="170"/>
      </w:pPr>
      <w:r>
        <w:rPr>
          <w:rFonts w:ascii="Arial" w:cs="Arial" w:eastAsia="Arial" w:hAnsi="Arial"/>
          <w:b/>
          <w:bCs/>
          <w:color w:val="2A7F8F"/>
          <w:sz w:val="22"/>
          <w:szCs w:val="22"/>
        </w:rPr>
        <w:t xml:space="preserve">Cambridge Pathway — Subject Teachers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2829"/>
        <w:gridCol w:w="4042"/>
        <w:gridCol w:w="3235"/>
      </w:tblGrid>
      <w:tr>
        <w:tc>
          <w:tcPr>
            <w:tcW w:type="dxa" w:w="282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Teacher</w:t>
            </w:r>
          </w:p>
        </w:tc>
        <w:tc>
          <w:tcPr>
            <w:tcW w:type="dxa" w:w="4042"/>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Subject(s) &amp; Year Groups</w:t>
            </w:r>
          </w:p>
        </w:tc>
        <w:tc>
          <w:tcPr>
            <w:tcW w:type="dxa" w:w="3235"/>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Email</w:t>
            </w:r>
          </w:p>
        </w:tc>
      </w:tr>
      <w:tr>
        <w:tc>
          <w:tcPr>
            <w:tcW w:type="dxa" w:w="282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Mr. David Gibson</w:t>
            </w:r>
          </w:p>
        </w:tc>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English — Secondary</w:t>
            </w:r>
          </w:p>
        </w:tc>
        <w:tc>
          <w:tcPr>
            <w:tcW w:type="dxa" w:w="323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tr.david.gibson@towa.edu.mm</w:t>
            </w:r>
          </w:p>
        </w:tc>
      </w:tr>
      <w:tr>
        <w:tc>
          <w:tcPr>
            <w:tcW w:type="dxa" w:w="282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[To be confirmed]</w:t>
            </w:r>
          </w:p>
        </w:tc>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English — Primary</w:t>
            </w:r>
          </w:p>
        </w:tc>
        <w:tc>
          <w:tcPr>
            <w:tcW w:type="dxa" w:w="323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admissions@owis-yangon.com</w:t>
            </w:r>
          </w:p>
        </w:tc>
      </w:tr>
      <w:tr>
        <w:tc>
          <w:tcPr>
            <w:tcW w:type="dxa" w:w="282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[To be confirmed]</w:t>
            </w:r>
          </w:p>
        </w:tc>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Mathematics — Secondary</w:t>
            </w:r>
          </w:p>
        </w:tc>
        <w:tc>
          <w:tcPr>
            <w:tcW w:type="dxa" w:w="323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admissions@owis-yangon.com</w:t>
            </w:r>
          </w:p>
        </w:tc>
      </w:tr>
      <w:tr>
        <w:tc>
          <w:tcPr>
            <w:tcW w:type="dxa" w:w="282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Mr. Paul Chambers</w:t>
            </w:r>
          </w:p>
        </w:tc>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Science (Head of Science) — Secondary</w:t>
            </w:r>
          </w:p>
        </w:tc>
        <w:tc>
          <w:tcPr>
            <w:tcW w:type="dxa" w:w="323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headofscience@towa.edu.mm</w:t>
            </w:r>
          </w:p>
        </w:tc>
      </w:tr>
      <w:tr>
        <w:tc>
          <w:tcPr>
            <w:tcW w:type="dxa" w:w="282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Ms. May Myat Moe Saw</w:t>
            </w:r>
          </w:p>
        </w:tc>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ICT / Computer Science — All</w:t>
            </w:r>
          </w:p>
        </w:tc>
        <w:tc>
          <w:tcPr>
            <w:tcW w:type="dxa" w:w="323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maymyatmoessssaw@gmail.com</w:t>
            </w:r>
          </w:p>
        </w:tc>
      </w:tr>
      <w:tr>
        <w:tc>
          <w:tcPr>
            <w:tcW w:type="dxa" w:w="282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Ms. Cindy (Soe Thuzar Aung)</w:t>
            </w:r>
          </w:p>
        </w:tc>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Social Studies — Secondary</w:t>
            </w:r>
          </w:p>
        </w:tc>
        <w:tc>
          <w:tcPr>
            <w:tcW w:type="dxa" w:w="323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soethuzaraung.towis@gmail.com</w:t>
            </w:r>
          </w:p>
        </w:tc>
      </w:tr>
      <w:tr>
        <w:tc>
          <w:tcPr>
            <w:tcW w:type="dxa" w:w="282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Mr. Pyae Phyo Aung</w:t>
            </w:r>
          </w:p>
        </w:tc>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PE — All</w:t>
            </w:r>
          </w:p>
        </w:tc>
        <w:tc>
          <w:tcPr>
            <w:tcW w:type="dxa" w:w="323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pyaephyoaung.towis@gmail.com</w:t>
            </w:r>
          </w:p>
        </w:tc>
      </w:tr>
      <w:tr>
        <w:tc>
          <w:tcPr>
            <w:tcW w:type="dxa" w:w="282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Ms. Phyu Phyu Khaing</w:t>
            </w:r>
          </w:p>
        </w:tc>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Art — All</w:t>
            </w:r>
          </w:p>
        </w:tc>
        <w:tc>
          <w:tcPr>
            <w:tcW w:type="dxa" w:w="323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tr.phyu.phyu@towa.edu.mm</w:t>
            </w:r>
          </w:p>
        </w:tc>
      </w:tr>
      <w:tr>
        <w:tc>
          <w:tcPr>
            <w:tcW w:type="dxa" w:w="282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Mr. Saw Tan Sam Htoo</w:t>
            </w:r>
          </w:p>
        </w:tc>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Music — All</w:t>
            </w:r>
          </w:p>
        </w:tc>
        <w:tc>
          <w:tcPr>
            <w:tcW w:type="dxa" w:w="323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tr.saw.htam.seng@towa.edu.mm</w:t>
            </w:r>
          </w:p>
        </w:tc>
      </w:tr>
      <w:tr>
        <w:tc>
          <w:tcPr>
            <w:tcW w:type="dxa" w:w="282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Dr. Myat Thandar Khin</w:t>
            </w:r>
          </w:p>
        </w:tc>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Computer Science (PT) — Secondary</w:t>
            </w:r>
          </w:p>
        </w:tc>
        <w:tc>
          <w:tcPr>
            <w:tcW w:type="dxa" w:w="323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myattk2018@gmail.com</w:t>
            </w:r>
          </w:p>
        </w:tc>
      </w:tr>
      <w:tr>
        <w:tc>
          <w:tcPr>
            <w:tcW w:type="dxa" w:w="282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U Myat Htut</w:t>
            </w:r>
          </w:p>
        </w:tc>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Accounting (PT) — Y10–11</w:t>
            </w:r>
          </w:p>
        </w:tc>
        <w:tc>
          <w:tcPr>
            <w:tcW w:type="dxa" w:w="323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myathtutigcse2025@gmail.com</w:t>
            </w:r>
          </w:p>
        </w:tc>
      </w:tr>
      <w:tr>
        <w:tc>
          <w:tcPr>
            <w:tcW w:type="dxa" w:w="282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Ms. Myintzu Moe</w:t>
            </w:r>
          </w:p>
        </w:tc>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Physics / Maths B / FPM (PT) — Secondary</w:t>
            </w:r>
          </w:p>
        </w:tc>
        <w:tc>
          <w:tcPr>
            <w:tcW w:type="dxa" w:w="323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myat.taza@gmail.com</w:t>
            </w:r>
          </w:p>
        </w:tc>
      </w:tr>
    </w:tbl>
    <w:p>
      <w:pPr>
        <w:pStyle w:val="Heading3"/>
        <w:spacing w:after="70" w:before="170"/>
      </w:pPr>
      <w:r>
        <w:rPr>
          <w:rFonts w:ascii="Arial" w:cs="Arial" w:eastAsia="Arial" w:hAnsi="Arial"/>
          <w:b/>
          <w:bCs/>
          <w:color w:val="2A7F8F"/>
          <w:sz w:val="22"/>
          <w:szCs w:val="22"/>
        </w:rPr>
        <w:t xml:space="preserve">Myanmar Curriculum Teachers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2829"/>
        <w:gridCol w:w="3537"/>
        <w:gridCol w:w="3740"/>
      </w:tblGrid>
      <w:tr>
        <w:tc>
          <w:tcPr>
            <w:tcW w:type="dxa" w:w="282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Teacher</w:t>
            </w:r>
          </w:p>
        </w:tc>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Subject(s)</w:t>
            </w:r>
          </w:p>
        </w:tc>
        <w:tc>
          <w:tcPr>
            <w:tcW w:type="dxa" w:w="3740"/>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Email</w:t>
            </w:r>
          </w:p>
        </w:tc>
      </w:tr>
      <w:tr>
        <w:tc>
          <w:tcPr>
            <w:tcW w:type="dxa" w:w="282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Ms. Eaint Thiri May</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Myanmar Language — All</w:t>
            </w:r>
          </w:p>
        </w:tc>
        <w:tc>
          <w:tcPr>
            <w:tcW w:type="dxa" w:w="37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tr.eaint.thiri@towa.edu.mm</w:t>
            </w:r>
          </w:p>
        </w:tc>
      </w:tr>
      <w:tr>
        <w:tc>
          <w:tcPr>
            <w:tcW w:type="dxa" w:w="282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Ms. Phyo Nandar Oo</w:t>
            </w:r>
          </w:p>
        </w:tc>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Chinese (Mandarin) — All</w:t>
            </w:r>
          </w:p>
        </w:tc>
        <w:tc>
          <w:tcPr>
            <w:tcW w:type="dxa" w:w="374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tr.phyo.nandar@towa.edu.mm</w:t>
            </w:r>
          </w:p>
        </w:tc>
      </w:tr>
      <w:tr>
        <w:tc>
          <w:tcPr>
            <w:tcW w:type="dxa" w:w="282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Ms. Naw Thandar Soe</w:t>
            </w:r>
          </w:p>
        </w:tc>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Year 6 Support / CIE — Primary</w:t>
            </w:r>
          </w:p>
        </w:tc>
        <w:tc>
          <w:tcPr>
            <w:tcW w:type="dxa" w:w="37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assistantteacher.towis@gmail.com</w:t>
            </w:r>
          </w:p>
        </w:tc>
      </w:tr>
    </w:tbl>
    <w:p>
      <w:pPr>
        <w:pStyle w:val="Heading3"/>
        <w:spacing w:after="70" w:before="170"/>
      </w:pPr>
      <w:r>
        <w:rPr>
          <w:rFonts w:ascii="Arial" w:cs="Arial" w:eastAsia="Arial" w:hAnsi="Arial"/>
          <w:b/>
          <w:bCs/>
          <w:color w:val="2A7F8F"/>
          <w:sz w:val="22"/>
          <w:szCs w:val="22"/>
        </w:rPr>
        <w:t xml:space="preserve">Administration &amp; Support Staff</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3031"/>
        <w:gridCol w:w="3538"/>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Name &amp; Role</w:t>
            </w:r>
          </w:p>
        </w:tc>
        <w:tc>
          <w:tcPr>
            <w:tcW w:type="dxa" w:w="303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Email</w:t>
            </w:r>
          </w:p>
        </w:tc>
        <w:tc>
          <w:tcPr>
            <w:tcW w:type="dxa" w:w="3538"/>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Area of Responsibility</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Ms. Nway Nway Myint Han — Receptionist / Admissions</w:t>
            </w:r>
          </w:p>
        </w:tc>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receptionist@towa.edu.mm</w:t>
            </w:r>
          </w:p>
        </w:tc>
        <w:tc>
          <w:tcPr>
            <w:tcW w:type="dxa" w:w="35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First point of contact, messages, visitors, uniform sales</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Ms. Aye Aye Khaing — Finance Manager</w:t>
            </w:r>
          </w:p>
        </w:tc>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finance@towa.edu.mm</w:t>
            </w:r>
          </w:p>
        </w:tc>
        <w:tc>
          <w:tcPr>
            <w:tcW w:type="dxa" w:w="353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Fees, invoices, payment queries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Ms. Theint Ei Phyu — School Nurse</w:t>
            </w:r>
          </w:p>
        </w:tc>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tr.theint.ei.phyu@towa.edu.mm</w:t>
            </w:r>
          </w:p>
        </w:tc>
        <w:tc>
          <w:tcPr>
            <w:tcW w:type="dxa" w:w="35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First aid, medication, illness — on-site all day</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Mr. Kyaw Lin — IT Support Officer</w:t>
            </w:r>
          </w:p>
        </w:tc>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itsupport@towa.edu.mm</w:t>
            </w:r>
          </w:p>
        </w:tc>
        <w:tc>
          <w:tcPr>
            <w:tcW w:type="dxa" w:w="353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ClassDojo access, devices, technical issues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Mr. Win Lwin Oo — Premises &amp; Facilities</w:t>
            </w:r>
          </w:p>
        </w:tc>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winlwinoo1006@gmail.com</w:t>
            </w:r>
          </w:p>
        </w:tc>
        <w:tc>
          <w:tcPr>
            <w:tcW w:type="dxa" w:w="353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Campus, maintenance, lost property</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Ms. May Zin Oo — HR Assistant Manager</w:t>
            </w:r>
          </w:p>
        </w:tc>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hr@towa.edu.mm</w:t>
            </w:r>
          </w:p>
        </w:tc>
        <w:tc>
          <w:tcPr>
            <w:tcW w:type="dxa" w:w="353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Staff HR and recruitment queries</w:t>
            </w:r>
          </w:p>
        </w:tc>
      </w:tr>
    </w:tbl>
    <w:p>
      <w:pPr>
        <w:pStyle w:val="Heading2"/>
        <w:spacing w:after="110" w:before="240"/>
      </w:pPr>
      <w:r>
        <w:rPr>
          <w:rFonts w:ascii="Arial" w:cs="Arial" w:eastAsia="Arial" w:hAnsi="Arial"/>
          <w:b/>
          <w:bCs/>
          <w:color w:val="1B3A6B"/>
          <w:sz w:val="26"/>
          <w:szCs w:val="26"/>
        </w:rPr>
        <w:t xml:space="preserve">Complaints Procedure</w:t>
      </w:r>
    </w:p>
    <w:p>
      <w:pPr>
        <w:spacing w:after="100" w:before="60"/>
      </w:pPr>
      <w:r>
        <w:rPr>
          <w:rFonts w:ascii="Arial" w:cs="Arial" w:eastAsia="Arial" w:hAnsi="Arial"/>
          <w:color w:val="444444"/>
          <w:sz w:val="20"/>
          <w:szCs w:val="20"/>
        </w:rPr>
        <w:t xml:space="preserve">At TOWIS, concerns and complaints are opportunities to improve practice and strengthen relationships. A concern can usually be resolved through a conversation with the class teacher. A formal complaint requires a structured investigation and written response.</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1212"/>
        <w:gridCol w:w="2223"/>
        <w:gridCol w:w="6671"/>
      </w:tblGrid>
      <w:tr>
        <w:tc>
          <w:tcPr>
            <w:tcW w:type="dxa" w:w="1212"/>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Stage</w:t>
            </w:r>
          </w:p>
        </w:tc>
        <w:tc>
          <w:tcPr>
            <w:tcW w:type="dxa" w:w="2223"/>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Who</w:t>
            </w:r>
          </w:p>
        </w:tc>
        <w:tc>
          <w:tcPr>
            <w:tcW w:type="dxa" w:w="667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Process</w:t>
            </w:r>
          </w:p>
        </w:tc>
      </w:tr>
      <w:tr>
        <w:tc>
          <w:tcPr>
            <w:tcW w:type="dxa" w:w="121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Stage 1</w:t>
            </w:r>
          </w:p>
        </w:tc>
        <w:tc>
          <w:tcPr>
            <w:tcW w:type="dxa" w:w="222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Teacher / Staff</w:t>
            </w:r>
          </w:p>
        </w:tc>
        <w:tc>
          <w:tcPr>
            <w:tcW w:type="dxa" w:w="667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Issue discussed directly with the class teacher or Homeroom Teacher. Most concerns resolved here.</w:t>
            </w:r>
          </w:p>
        </w:tc>
      </w:tr>
      <w:tr>
        <w:tc>
          <w:tcPr>
            <w:tcW w:type="dxa" w:w="121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Stage 2</w:t>
            </w:r>
          </w:p>
        </w:tc>
        <w:tc>
          <w:tcPr>
            <w:tcW w:type="dxa" w:w="222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School Leadership</w:t>
            </w:r>
          </w:p>
        </w:tc>
        <w:tc>
          <w:tcPr>
            <w:tcW w:type="dxa" w:w="667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If unresolved, a senior leader investigates and provides a written response. Acknowledged within 3 school days; resolved within 15 school days.</w:t>
            </w:r>
          </w:p>
        </w:tc>
      </w:tr>
      <w:tr>
        <w:tc>
          <w:tcPr>
            <w:tcW w:type="dxa" w:w="121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Stage 3</w:t>
            </w:r>
          </w:p>
        </w:tc>
        <w:tc>
          <w:tcPr>
            <w:tcW w:type="dxa" w:w="222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Board of Directors</w:t>
            </w:r>
          </w:p>
        </w:tc>
        <w:tc>
          <w:tcPr>
            <w:tcW w:type="dxa" w:w="667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If still unresolved, an independent review is conducted by the Board of Directors.</w:t>
            </w:r>
          </w:p>
        </w:tc>
      </w:tr>
    </w:tbl>
    <w:p>
      <w:pPr>
        <w:shd w:fill="1B3A6B" w:val="clear"/>
        <w:spacing w:after="0" w:before="0"/>
      </w:pPr>
      <w:r>
        <w:rPr>
          <w:rFonts w:ascii="Arial" w:cs="Arial" w:eastAsia="Arial" w:hAnsi="Arial"/>
          <w:b/>
          <w:bCs/>
          <w:caps/>
          <w:color w:val="FFFFFF"/>
          <w:sz w:val="34"/>
          <w:szCs w:val="34"/>
        </w:rPr>
        <w:t xml:space="preserve">Parents &amp; Community</w:t>
      </w:r>
    </w:p>
    <w:p>
      <w:pPr>
        <w:spacing w:after="80" w:before="160"/>
      </w:pPr>
    </w:p>
    <w:p>
      <w:pPr>
        <w:pStyle w:val="Heading2"/>
        <w:spacing w:after="110" w:before="240"/>
      </w:pPr>
      <w:r>
        <w:rPr>
          <w:rFonts w:ascii="Arial" w:cs="Arial" w:eastAsia="Arial" w:hAnsi="Arial"/>
          <w:b/>
          <w:bCs/>
          <w:color w:val="1B3A6B"/>
          <w:sz w:val="26"/>
          <w:szCs w:val="26"/>
        </w:rPr>
        <w:t xml:space="preserve">Parent Involvement</w:t>
      </w:r>
    </w:p>
    <w:p>
      <w:pPr>
        <w:spacing w:after="100" w:before="60"/>
      </w:pPr>
      <w:r>
        <w:rPr>
          <w:rFonts w:ascii="Arial" w:cs="Arial" w:eastAsia="Arial" w:hAnsi="Arial"/>
          <w:color w:val="444444"/>
          <w:sz w:val="20"/>
          <w:szCs w:val="20"/>
        </w:rPr>
        <w:t xml:space="preserve">TOWIS does not currently have a formal Parents Association. However, parents are an essential part of our school community and there are many ways to be involved in school life.</w:t>
      </w:r>
    </w:p>
    <w:p>
      <w:pPr>
        <w:pStyle w:val="ListParagraph"/>
        <w:numPr>
          <w:ilvl w:val="0"/>
          <w:numId w:val="2"/>
        </w:numPr>
        <w:spacing w:after="40" w:before="40"/>
      </w:pPr>
      <w:r>
        <w:rPr>
          <w:rFonts w:ascii="Arial" w:cs="Arial" w:eastAsia="Arial" w:hAnsi="Arial"/>
          <w:color w:val="444444"/>
          <w:sz w:val="20"/>
          <w:szCs w:val="20"/>
        </w:rPr>
        <w:t xml:space="preserve">Attend ACE Day celebrations and Awards Assemblies — parents are warmly invited.</w:t>
      </w:r>
    </w:p>
    <w:p>
      <w:pPr>
        <w:pStyle w:val="ListParagraph"/>
        <w:numPr>
          <w:ilvl w:val="0"/>
          <w:numId w:val="2"/>
        </w:numPr>
        <w:spacing w:after="40" w:before="40"/>
      </w:pPr>
      <w:r>
        <w:rPr>
          <w:rFonts w:ascii="Arial" w:cs="Arial" w:eastAsia="Arial" w:hAnsi="Arial"/>
          <w:color w:val="444444"/>
          <w:sz w:val="20"/>
          <w:szCs w:val="20"/>
        </w:rPr>
        <w:t xml:space="preserve">Support the Community Marketplace and charity events.</w:t>
      </w:r>
    </w:p>
    <w:p>
      <w:pPr>
        <w:pStyle w:val="ListParagraph"/>
        <w:numPr>
          <w:ilvl w:val="0"/>
          <w:numId w:val="2"/>
        </w:numPr>
        <w:spacing w:after="40" w:before="40"/>
      </w:pPr>
      <w:r>
        <w:rPr>
          <w:rFonts w:ascii="Arial" w:cs="Arial" w:eastAsia="Arial" w:hAnsi="Arial"/>
          <w:color w:val="444444"/>
          <w:sz w:val="20"/>
          <w:szCs w:val="20"/>
        </w:rPr>
        <w:t xml:space="preserve">Volunteer as a trip chaperone for educational visits — contact your child’s Homeroom Teacher.</w:t>
      </w:r>
    </w:p>
    <w:p>
      <w:pPr>
        <w:pStyle w:val="ListParagraph"/>
        <w:numPr>
          <w:ilvl w:val="0"/>
          <w:numId w:val="2"/>
        </w:numPr>
        <w:spacing w:after="40" w:before="40"/>
      </w:pPr>
      <w:r>
        <w:rPr>
          <w:rFonts w:ascii="Arial" w:cs="Arial" w:eastAsia="Arial" w:hAnsi="Arial"/>
          <w:color w:val="444444"/>
          <w:sz w:val="20"/>
          <w:szCs w:val="20"/>
        </w:rPr>
        <w:t xml:space="preserve">Respond to parent surveys and share your feedback — your voice shapes the school.</w:t>
      </w:r>
    </w:p>
    <w:p>
      <w:pPr>
        <w:pStyle w:val="ListParagraph"/>
        <w:numPr>
          <w:ilvl w:val="0"/>
          <w:numId w:val="2"/>
        </w:numPr>
        <w:spacing w:after="40" w:before="40"/>
      </w:pPr>
      <w:r>
        <w:rPr>
          <w:rFonts w:ascii="Arial" w:cs="Arial" w:eastAsia="Arial" w:hAnsi="Arial"/>
          <w:color w:val="444444"/>
          <w:sz w:val="20"/>
          <w:szCs w:val="20"/>
        </w:rPr>
        <w:t xml:space="preserve">Engage with ClassDojo regularly and celebrate your child’s achievements with us.</w:t>
      </w:r>
    </w:p>
    <w:p>
      <w:pPr>
        <w:spacing w:after="100" w:before="60"/>
      </w:pPr>
      <w:r>
        <w:rPr>
          <w:rFonts w:ascii="Arial" w:cs="Arial" w:eastAsia="Arial" w:hAnsi="Arial"/>
          <w:color w:val="444444"/>
          <w:sz w:val="20"/>
          <w:szCs w:val="20"/>
        </w:rPr>
        <w:t xml:space="preserve">As the school grows, we intend to develop a more structured parent partnership programme. If you are interested in being involved in shaping this, please contact Mr. Madine directly.</w:t>
      </w:r>
    </w:p>
    <w:p>
      <w:pPr>
        <w:pStyle w:val="Heading2"/>
        <w:spacing w:after="110" w:before="240"/>
      </w:pPr>
      <w:r>
        <w:rPr>
          <w:rFonts w:ascii="Arial" w:cs="Arial" w:eastAsia="Arial" w:hAnsi="Arial"/>
          <w:b/>
          <w:bCs/>
          <w:color w:val="1B3A6B"/>
          <w:sz w:val="26"/>
          <w:szCs w:val="26"/>
        </w:rPr>
        <w:t xml:space="preserve">Key School Events — Annual Overview</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4042"/>
        <w:gridCol w:w="6064"/>
      </w:tblGrid>
      <w:tr>
        <w:tc>
          <w:tcPr>
            <w:tcW w:type="dxa" w:w="4042"/>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Event</w:t>
            </w:r>
          </w:p>
        </w:tc>
        <w:tc>
          <w:tcPr>
            <w:tcW w:type="dxa" w:w="6064"/>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When / Details</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ACE Day &amp; Awards Assembly</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End of each quarter (x4) — October, December, March, June. Parents invited.</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Sports Day</w:t>
            </w:r>
          </w:p>
        </w:tc>
        <w:tc>
          <w:tcPr>
            <w:tcW w:type="dxa" w:w="606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Annual whole-school house sports competition.</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STEM Fair</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Annual showcase of STEM projects.</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Art Exhibition</w:t>
            </w:r>
          </w:p>
        </w:tc>
        <w:tc>
          <w:tcPr>
            <w:tcW w:type="dxa" w:w="606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Annual display of student creative work.</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Community Marketplace</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Annual student marketplace — proceeds to Sonne charity.</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World Book Day</w:t>
            </w:r>
          </w:p>
        </w:tc>
        <w:tc>
          <w:tcPr>
            <w:tcW w:type="dxa" w:w="606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Annual celebration of reading and literature.</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Myanmar Cultural Events</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Throughout the year.</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Christmas Event</w:t>
            </w:r>
          </w:p>
        </w:tc>
        <w:tc>
          <w:tcPr>
            <w:tcW w:type="dxa" w:w="606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End of Term 2 whole-school celebration.</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Parent–Teacher–Student Conferences</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Four times per year — following each quarterly Progress Report.</w:t>
            </w:r>
          </w:p>
        </w:tc>
      </w:tr>
      <w:tr>
        <w:tc>
          <w:tcPr>
            <w:tcW w:type="dxa" w:w="4042"/>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IGCSE Mock Examinations</w:t>
            </w:r>
          </w:p>
        </w:tc>
        <w:tc>
          <w:tcPr>
            <w:tcW w:type="dxa" w:w="6064"/>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End of Quarter 3 (March) — Year 10 and 11 students.</w:t>
            </w:r>
          </w:p>
        </w:tc>
      </w:tr>
      <w:tr>
        <w:tc>
          <w:tcPr>
            <w:tcW w:type="dxa" w:w="4042"/>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Overseas Educational Visit</w:t>
            </w:r>
          </w:p>
        </w:tc>
        <w:tc>
          <w:tcPr>
            <w:tcW w:type="dxa" w:w="6064"/>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Annual trip for Secondary students.</w:t>
            </w:r>
          </w:p>
        </w:tc>
      </w:tr>
    </w:tbl>
    <w:p>
      <w:pPr>
        <w:shd w:fill="1B3A6B" w:val="clear"/>
        <w:spacing w:after="0" w:before="0"/>
      </w:pPr>
      <w:r>
        <w:rPr>
          <w:rFonts w:ascii="Arial" w:cs="Arial" w:eastAsia="Arial" w:hAnsi="Arial"/>
          <w:b/>
          <w:bCs/>
          <w:caps/>
          <w:color w:val="FFFFFF"/>
          <w:sz w:val="34"/>
          <w:szCs w:val="34"/>
        </w:rPr>
        <w:t xml:space="preserve">Facilities &amp; Transport</w:t>
      </w:r>
    </w:p>
    <w:p>
      <w:pPr>
        <w:spacing w:after="80" w:before="160"/>
      </w:pPr>
    </w:p>
    <w:p>
      <w:pPr>
        <w:pStyle w:val="Heading2"/>
        <w:spacing w:after="110" w:before="240"/>
      </w:pPr>
      <w:r>
        <w:rPr>
          <w:rFonts w:ascii="Arial" w:cs="Arial" w:eastAsia="Arial" w:hAnsi="Arial"/>
          <w:b/>
          <w:bCs/>
          <w:color w:val="1B3A6B"/>
          <w:sz w:val="26"/>
          <w:szCs w:val="26"/>
        </w:rPr>
        <w:t xml:space="preserve">Campus Facilities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031"/>
        <w:gridCol w:w="7075"/>
      </w:tblGrid>
      <w:tr>
        <w:tc>
          <w:tcPr>
            <w:tcW w:type="dxa" w:w="303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Facility</w:t>
            </w:r>
          </w:p>
        </w:tc>
        <w:tc>
          <w:tcPr>
            <w:tcW w:type="dxa" w:w="7075"/>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Details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General Classrooms</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classrooms are equipped with projectors and screens. Display-rich learning environments from EYFS to Year 11.</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ICT Laboratory</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Dedicated computer lab supporting Digital Literacy, Computing, ICT IGCSE, and independent research. Fully networked with filtered internet access.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Science Laboratory</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Purpose-built lab with circuit breaker system, fume extraction, gas supply with master control, eyewash station, safety goggles, chemical storage, first aid kit, and fire extinguisher.</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Library &amp; Lecture Theatre</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Well-stocked library with Cambridge textbooks/workbooks, supporting reading culture and independent learning. Doubles as a lecture and presentation space.</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Art Room</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Dedicated creative space for Art &amp; Design across all year groups.</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Music Room</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Dedicated music teaching space supporting the music curriculum and co-curricular activities.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Sports Arena &amp; Play Areas</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Outdoor sports and play facilities supporting PE, House competitions, Sports Day, and break time activity.</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Canteen</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On-site canteen providing meals and snacks throughout the school day.</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School Clinic / Medical Room</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On-site clinic staffed by a certified nurse throughout the school day. First aid kits located across campus.</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Reception &amp; Admin Block</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Main entrance, Reception, Principal’s Office, and administration offices. Paper safeguarding records held in a locked cabinet in the Principal’s Office.</w:t>
            </w:r>
          </w:p>
        </w:tc>
      </w:tr>
    </w:tbl>
    <w:p>
      <w:pPr>
        <w:pStyle w:val="Heading2"/>
        <w:spacing w:after="110" w:before="240"/>
      </w:pPr>
      <w:r>
        <w:rPr>
          <w:rFonts w:ascii="Arial" w:cs="Arial" w:eastAsia="Arial" w:hAnsi="Arial"/>
          <w:b/>
          <w:bCs/>
          <w:color w:val="1B3A6B"/>
          <w:sz w:val="26"/>
          <w:szCs w:val="26"/>
        </w:rPr>
        <w:t xml:space="preserve">School Transport</w:t>
      </w:r>
    </w:p>
    <w:p>
      <w:pPr>
        <w:spacing w:after="100" w:before="60"/>
      </w:pPr>
      <w:r>
        <w:rPr>
          <w:rFonts w:ascii="Arial" w:cs="Arial" w:eastAsia="Arial" w:hAnsi="Arial"/>
          <w:color w:val="444444"/>
          <w:sz w:val="20"/>
          <w:szCs w:val="20"/>
        </w:rPr>
        <w:t xml:space="preserve">TOWIS operates a school bus (ferry) service for families who require transport to and from school, covering a range of routes across Yangon.</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031"/>
        <w:gridCol w:w="7075"/>
      </w:tblGrid>
      <w:tr>
        <w:tc>
          <w:tcPr>
            <w:tcW w:type="dxa" w:w="303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Topic</w:t>
            </w:r>
          </w:p>
        </w:tc>
        <w:tc>
          <w:tcPr>
            <w:tcW w:type="dxa" w:w="7075"/>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Details</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Routes</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Multiple routes available. Contact the school for current route details and availability.</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Costs</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Fees apply. Contact Reception for the current transport fee schedule.</w:t>
            </w:r>
          </w:p>
        </w:tc>
      </w:tr>
      <w:tr>
        <w:tc>
          <w:tcPr>
            <w:tcW w:type="dxa" w:w="303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How to book</w:t>
            </w:r>
          </w:p>
        </w:tc>
        <w:tc>
          <w:tcPr>
            <w:tcW w:type="dxa" w:w="707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receptionist@towa.edu.mm  |  +95 9 45063 4402</w:t>
            </w:r>
          </w:p>
        </w:tc>
      </w:tr>
      <w:tr>
        <w:tc>
          <w:tcPr>
            <w:tcW w:type="dxa" w:w="303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Changes</w:t>
            </w:r>
          </w:p>
        </w:tc>
        <w:tc>
          <w:tcPr>
            <w:tcW w:type="dxa" w:w="707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Any changes to transport arrangements must be communicated to Reception in advance.</w:t>
            </w:r>
          </w:p>
        </w:tc>
      </w:tr>
    </w:tbl>
    <w:p>
      <w:pPr>
        <w:pStyle w:val="Heading2"/>
        <w:spacing w:after="110" w:before="240"/>
      </w:pPr>
      <w:r>
        <w:rPr>
          <w:rFonts w:ascii="Arial" w:cs="Arial" w:eastAsia="Arial" w:hAnsi="Arial"/>
          <w:b/>
          <w:bCs/>
          <w:color w:val="1B3A6B"/>
          <w:sz w:val="26"/>
          <w:szCs w:val="26"/>
        </w:rPr>
        <w:t xml:space="preserve">Drop-Off &amp; Collection</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6569"/>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Time / Action</w:t>
            </w:r>
          </w:p>
        </w:tc>
        <w:tc>
          <w:tcPr>
            <w:tcW w:type="dxa" w:w="656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Details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Drop-off (from 8:00 AM)</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Students dropped off outside the school entrance. Security guards assist with safe entry.</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Registration (8:20 AM)</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must be in their Homeroom for registration and the National Anthem.</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End of school pick-up (3:00 PM)</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Students dismissed from their Homeroom. Security guards assist with safe exit.</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After-school clubs (3:50 PM)</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Students attending clubs are collected at 3:50 PM.</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Late collection</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Contact Reception immediately. Students will wait safely at Reception until collected.</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Authorised collection</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If someone other than the usual parent/guardian is collecting, notify Reception or the Homeroom Teacher in advance.</w:t>
            </w:r>
          </w:p>
        </w:tc>
      </w:tr>
    </w:tbl>
    <w:p>
      <w:pPr>
        <w:pStyle w:val="Heading3"/>
        <w:spacing w:after="70" w:before="170"/>
      </w:pPr>
      <w:r>
        <w:rPr>
          <w:rFonts w:ascii="Arial" w:cs="Arial" w:eastAsia="Arial" w:hAnsi="Arial"/>
          <w:b/>
          <w:bCs/>
          <w:color w:val="2A7F8F"/>
          <w:sz w:val="22"/>
          <w:szCs w:val="22"/>
        </w:rPr>
        <w:t xml:space="preserve">Car Parking</w:t>
      </w:r>
    </w:p>
    <w:p>
      <w:pPr>
        <w:pStyle w:val="ListParagraph"/>
        <w:numPr>
          <w:ilvl w:val="0"/>
          <w:numId w:val="2"/>
        </w:numPr>
        <w:spacing w:after="40" w:before="40"/>
      </w:pPr>
      <w:r>
        <w:rPr>
          <w:rFonts w:ascii="Arial" w:cs="Arial" w:eastAsia="Arial" w:hAnsi="Arial"/>
          <w:color w:val="444444"/>
          <w:sz w:val="20"/>
          <w:szCs w:val="20"/>
        </w:rPr>
        <w:t xml:space="preserve">Follow the instructions of security staff at all times.</w:t>
      </w:r>
    </w:p>
    <w:p>
      <w:pPr>
        <w:pStyle w:val="ListParagraph"/>
        <w:numPr>
          <w:ilvl w:val="0"/>
          <w:numId w:val="2"/>
        </w:numPr>
        <w:spacing w:after="40" w:before="40"/>
      </w:pPr>
      <w:r>
        <w:rPr>
          <w:rFonts w:ascii="Arial" w:cs="Arial" w:eastAsia="Arial" w:hAnsi="Arial"/>
          <w:color w:val="444444"/>
          <w:sz w:val="20"/>
          <w:szCs w:val="20"/>
        </w:rPr>
        <w:t xml:space="preserve">Do not park in a way that blocks the entrance, exit, or neighbouring properties.</w:t>
      </w:r>
    </w:p>
    <w:p>
      <w:pPr>
        <w:pStyle w:val="ListParagraph"/>
        <w:numPr>
          <w:ilvl w:val="0"/>
          <w:numId w:val="2"/>
        </w:numPr>
        <w:spacing w:after="40" w:before="40"/>
      </w:pPr>
      <w:r>
        <w:rPr>
          <w:rFonts w:ascii="Arial" w:cs="Arial" w:eastAsia="Arial" w:hAnsi="Arial"/>
          <w:color w:val="444444"/>
          <w:sz w:val="20"/>
          <w:szCs w:val="20"/>
        </w:rPr>
        <w:t xml:space="preserve">Drive slowly and carefully in the area around the school at all times.</w:t>
      </w:r>
    </w:p>
    <w:p>
      <w:pPr>
        <w:pStyle w:val="ListParagraph"/>
        <w:numPr>
          <w:ilvl w:val="0"/>
          <w:numId w:val="2"/>
        </w:numPr>
        <w:spacing w:after="40" w:before="40"/>
      </w:pPr>
      <w:r>
        <w:rPr>
          <w:rFonts w:ascii="Arial" w:cs="Arial" w:eastAsia="Arial" w:hAnsi="Arial"/>
          <w:color w:val="444444"/>
          <w:sz w:val="20"/>
          <w:szCs w:val="20"/>
        </w:rPr>
        <w:t xml:space="preserve">Do not leave your vehicle unattended in the drop-off zone.</w:t>
      </w:r>
    </w:p>
    <w:p>
      <w:pPr>
        <w:shd w:fill="1B3A6B" w:val="clear"/>
        <w:spacing w:after="0" w:before="0"/>
      </w:pPr>
      <w:r>
        <w:rPr>
          <w:rFonts w:ascii="Arial" w:cs="Arial" w:eastAsia="Arial" w:hAnsi="Arial"/>
          <w:b/>
          <w:bCs/>
          <w:caps/>
          <w:color w:val="FFFFFF"/>
          <w:sz w:val="34"/>
          <w:szCs w:val="34"/>
        </w:rPr>
        <w:t xml:space="preserve">Appendices &amp; Further Information</w:t>
      </w:r>
    </w:p>
    <w:p>
      <w:pPr>
        <w:spacing w:after="80" w:before="160"/>
      </w:pPr>
    </w:p>
    <w:p>
      <w:pPr>
        <w:pStyle w:val="Heading2"/>
        <w:spacing w:after="110" w:before="240"/>
      </w:pPr>
      <w:r>
        <w:rPr>
          <w:rFonts w:ascii="Arial" w:cs="Arial" w:eastAsia="Arial" w:hAnsi="Arial"/>
          <w:b/>
          <w:bCs/>
          <w:color w:val="1B3A6B"/>
          <w:sz w:val="26"/>
          <w:szCs w:val="26"/>
        </w:rPr>
        <w:t xml:space="preserve">A. Academic Calendar 2026–2027</w:t>
      </w:r>
    </w:p>
    <w:p>
      <w:pPr>
        <w:spacing w:after="100" w:before="60"/>
      </w:pPr>
      <w:r>
        <w:rPr>
          <w:rFonts w:ascii="Arial" w:cs="Arial" w:eastAsia="Arial" w:hAnsi="Arial"/>
          <w:color w:val="444444"/>
          <w:sz w:val="20"/>
          <w:szCs w:val="20"/>
        </w:rPr>
        <w:t xml:space="preserve">The academic year 2026–2027 consists of two semesters and four quarters. Because of the number of public holidays, the calendar is organised around learning blocks rather than holidays. All key dates are also available on the school calendar in the ClassDojo app.</w:t>
      </w:r>
    </w:p>
    <w:p>
      <w:pPr>
        <w:shd w:fill="FFF3CD" w:val="clear"/>
        <w:spacing w:after="80" w:before="80"/>
      </w:pPr>
      <w:r>
        <w:rPr>
          <w:rFonts w:ascii="Arial" w:cs="Arial" w:eastAsia="Arial" w:hAnsi="Arial"/>
          <w:i/>
          <w:iCs/>
          <w:color w:val="856404"/>
          <w:sz w:val="20"/>
          <w:szCs w:val="20"/>
        </w:rPr>
        <w:t xml:space="preserve">⚠ NOTE FOR PRINCIPAL: Please verify all calendar dates below against the Master School Calendar before publication.</w:t>
      </w:r>
    </w:p>
    <w:p>
      <w:pPr>
        <w:pStyle w:val="Heading3"/>
        <w:spacing w:after="70" w:before="170"/>
      </w:pPr>
      <w:r>
        <w:rPr>
          <w:rFonts w:ascii="Arial" w:cs="Arial" w:eastAsia="Arial" w:hAnsi="Arial"/>
          <w:b/>
          <w:bCs/>
          <w:color w:val="2A7F8F"/>
          <w:sz w:val="22"/>
          <w:szCs w:val="22"/>
        </w:rPr>
        <w:t xml:space="preserve">Term Dates &amp; School Holidays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3233"/>
        <w:gridCol w:w="3336"/>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Period</w:t>
            </w:r>
          </w:p>
        </w:tc>
        <w:tc>
          <w:tcPr>
            <w:tcW w:type="dxa" w:w="3233"/>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Start</w:t>
            </w:r>
          </w:p>
        </w:tc>
        <w:tc>
          <w:tcPr>
            <w:tcW w:type="dxa" w:w="3336"/>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End</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Quarter 1</w:t>
            </w:r>
          </w:p>
        </w:tc>
        <w:tc>
          <w:tcPr>
            <w:tcW w:type="dxa" w:w="323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Monday 10 August 2026</w:t>
            </w:r>
          </w:p>
        </w:tc>
        <w:tc>
          <w:tcPr>
            <w:tcW w:type="dxa" w:w="333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Friday 9 October 2026</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October Break</w:t>
            </w:r>
          </w:p>
        </w:tc>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Tuesday 20 October 2026</w:t>
            </w:r>
          </w:p>
        </w:tc>
        <w:tc>
          <w:tcPr>
            <w:tcW w:type="dxa" w:w="333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Friday 23 October 2026</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Quarter 2</w:t>
            </w:r>
          </w:p>
        </w:tc>
        <w:tc>
          <w:tcPr>
            <w:tcW w:type="dxa" w:w="323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Monday 12 October 2026</w:t>
            </w:r>
          </w:p>
        </w:tc>
        <w:tc>
          <w:tcPr>
            <w:tcW w:type="dxa" w:w="333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Friday 18 December 2026</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Christmas Holiday</w:t>
            </w:r>
          </w:p>
        </w:tc>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Monday 21 December 2026</w:t>
            </w:r>
          </w:p>
        </w:tc>
        <w:tc>
          <w:tcPr>
            <w:tcW w:type="dxa" w:w="333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Friday 8 January 2027</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Quarter 3</w:t>
            </w:r>
          </w:p>
        </w:tc>
        <w:tc>
          <w:tcPr>
            <w:tcW w:type="dxa" w:w="323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Monday 11 January 2027</w:t>
            </w:r>
          </w:p>
        </w:tc>
        <w:tc>
          <w:tcPr>
            <w:tcW w:type="dxa" w:w="333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Friday 26 March 2027</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Spring Break</w:t>
            </w:r>
          </w:p>
        </w:tc>
        <w:tc>
          <w:tcPr>
            <w:tcW w:type="dxa" w:w="3233"/>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Sunday 12 April 2027</w:t>
            </w:r>
          </w:p>
        </w:tc>
        <w:tc>
          <w:tcPr>
            <w:tcW w:type="dxa" w:w="3336"/>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Thursday 16 April 2027</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Quarter 4</w:t>
            </w:r>
          </w:p>
        </w:tc>
        <w:tc>
          <w:tcPr>
            <w:tcW w:type="dxa" w:w="3233"/>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Sunday 19 April 2027</w:t>
            </w:r>
          </w:p>
        </w:tc>
        <w:tc>
          <w:tcPr>
            <w:tcW w:type="dxa" w:w="333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Thursday 4 June 2027</w:t>
            </w:r>
          </w:p>
        </w:tc>
      </w:tr>
    </w:tbl>
    <w:p>
      <w:pPr>
        <w:pStyle w:val="Heading3"/>
        <w:spacing w:after="70" w:before="170"/>
      </w:pPr>
      <w:r>
        <w:rPr>
          <w:rFonts w:ascii="Arial" w:cs="Arial" w:eastAsia="Arial" w:hAnsi="Arial"/>
          <w:b/>
          <w:bCs/>
          <w:color w:val="2A7F8F"/>
          <w:sz w:val="22"/>
          <w:szCs w:val="22"/>
        </w:rPr>
        <w:t xml:space="preserve">Quarterly Assessment &amp; Reporting Schedule</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707"/>
        <w:gridCol w:w="3537"/>
        <w:gridCol w:w="2526"/>
        <w:gridCol w:w="3336"/>
      </w:tblGrid>
      <w:tr>
        <w:tc>
          <w:tcPr>
            <w:tcW w:type="dxa" w:w="707"/>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Q</w:t>
            </w:r>
          </w:p>
        </w:tc>
        <w:tc>
          <w:tcPr>
            <w:tcW w:type="dxa" w:w="3537"/>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Learning Block</w:t>
            </w:r>
          </w:p>
        </w:tc>
        <w:tc>
          <w:tcPr>
            <w:tcW w:type="dxa" w:w="2526"/>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Report Issued</w:t>
            </w:r>
          </w:p>
        </w:tc>
        <w:tc>
          <w:tcPr>
            <w:tcW w:type="dxa" w:w="3336"/>
            <w:tcBorders>
              <w:top w:val="none" w:color="FFFFFF" w:sz="0"/>
              <w:left w:val="none" w:color="FFFFFF" w:sz="0"/>
              <w:bottom w:val="none" w:color="FFFFFF" w:sz="0"/>
              <w:right w:val="none" w:color="FFFFFF" w:sz="0"/>
            </w:tcBorders>
            <w:shd w:fill="1B3A6B" w:val="clear"/>
            <w:tcMar>
              <w:top w:type="dxa" w:w="70"/>
              <w:left w:type="dxa" w:w="110"/>
              <w:bottom w:type="dxa" w:w="70"/>
              <w:right w:type="dxa" w:w="110"/>
            </w:tcMar>
          </w:tcPr>
          <w:p>
            <w:r>
              <w:rPr>
                <w:rFonts w:ascii="Arial" w:cs="Arial" w:eastAsia="Arial" w:hAnsi="Arial"/>
                <w:b/>
                <w:bCs/>
                <w:color w:val="FFFFFF"/>
                <w:sz w:val="17"/>
                <w:szCs w:val="17"/>
              </w:rPr>
              <w:t xml:space="preserve">Report Includes</w:t>
            </w:r>
          </w:p>
        </w:tc>
      </w:tr>
      <w:tr>
        <w:tc>
          <w:tcPr>
            <w:tcW w:type="dxa" w:w="707"/>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1</w:t>
            </w:r>
          </w:p>
        </w:tc>
        <w:tc>
          <w:tcPr>
            <w:tcW w:type="dxa" w:w="3537"/>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10 Aug – 9 Oct 2026</w:t>
            </w:r>
          </w:p>
        </w:tc>
        <w:tc>
          <w:tcPr>
            <w:tcW w:type="dxa" w:w="2526"/>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9 Oct 2026</w:t>
            </w:r>
          </w:p>
        </w:tc>
        <w:tc>
          <w:tcPr>
            <w:tcW w:type="dxa" w:w="3336"/>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Grades &amp; Next Steps</w:t>
            </w:r>
          </w:p>
        </w:tc>
      </w:tr>
      <w:tr>
        <w:tc>
          <w:tcPr>
            <w:tcW w:type="dxa" w:w="707"/>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2</w:t>
            </w:r>
          </w:p>
        </w:tc>
        <w:tc>
          <w:tcPr>
            <w:tcW w:type="dxa" w:w="3537"/>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12 Oct – 18 Dec 2026</w:t>
            </w:r>
          </w:p>
        </w:tc>
        <w:tc>
          <w:tcPr>
            <w:tcW w:type="dxa" w:w="2526"/>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18 Dec 2026</w:t>
            </w:r>
          </w:p>
        </w:tc>
        <w:tc>
          <w:tcPr>
            <w:tcW w:type="dxa" w:w="3336"/>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Grades</w:t>
            </w:r>
          </w:p>
        </w:tc>
      </w:tr>
      <w:tr>
        <w:tc>
          <w:tcPr>
            <w:tcW w:type="dxa" w:w="707"/>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3</w:t>
            </w:r>
          </w:p>
        </w:tc>
        <w:tc>
          <w:tcPr>
            <w:tcW w:type="dxa" w:w="3537"/>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11 Jan – 26 Mar 2027</w:t>
            </w:r>
          </w:p>
        </w:tc>
        <w:tc>
          <w:tcPr>
            <w:tcW w:type="dxa" w:w="2526"/>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26 Mar 2027</w:t>
            </w:r>
          </w:p>
        </w:tc>
        <w:tc>
          <w:tcPr>
            <w:tcW w:type="dxa" w:w="3336"/>
            <w:tcBorders>
              <w:top w:val="single" w:color="CCCCCC" w:sz="1"/>
              <w:left w:val="single" w:color="CCCCCC" w:sz="1"/>
              <w:bottom w:val="single" w:color="CCCCCC" w:sz="1"/>
              <w:right w:val="single" w:color="CCCCCC" w:sz="1"/>
            </w:tcBorders>
            <w:shd w:fill="FFFFFF" w:val="clear"/>
            <w:tcMar>
              <w:top w:type="dxa" w:w="70"/>
              <w:left w:type="dxa" w:w="110"/>
              <w:bottom w:type="dxa" w:w="70"/>
              <w:right w:type="dxa" w:w="110"/>
            </w:tcMar>
          </w:tcPr>
          <w:p>
            <w:r>
              <w:rPr>
                <w:rFonts w:ascii="Arial" w:cs="Arial" w:eastAsia="Arial" w:hAnsi="Arial"/>
                <w:b w:val="false"/>
                <w:bCs w:val="false"/>
                <w:color w:val="444444"/>
                <w:sz w:val="17"/>
                <w:szCs w:val="17"/>
              </w:rPr>
              <w:t xml:space="preserve">Grades &amp; Next Steps</w:t>
            </w:r>
          </w:p>
        </w:tc>
      </w:tr>
      <w:tr>
        <w:tc>
          <w:tcPr>
            <w:tcW w:type="dxa" w:w="707"/>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4</w:t>
            </w:r>
          </w:p>
        </w:tc>
        <w:tc>
          <w:tcPr>
            <w:tcW w:type="dxa" w:w="3537"/>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29 Mar – 4 Jun 2027</w:t>
            </w:r>
          </w:p>
        </w:tc>
        <w:tc>
          <w:tcPr>
            <w:tcW w:type="dxa" w:w="2526"/>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4 Jun 2027</w:t>
            </w:r>
          </w:p>
        </w:tc>
        <w:tc>
          <w:tcPr>
            <w:tcW w:type="dxa" w:w="3336"/>
            <w:tcBorders>
              <w:top w:val="single" w:color="CCCCCC" w:sz="1"/>
              <w:left w:val="single" w:color="CCCCCC" w:sz="1"/>
              <w:bottom w:val="single" w:color="CCCCCC" w:sz="1"/>
              <w:right w:val="single" w:color="CCCCCC" w:sz="1"/>
            </w:tcBorders>
            <w:shd w:fill="F5F5F5" w:val="clear"/>
            <w:tcMar>
              <w:top w:type="dxa" w:w="70"/>
              <w:left w:type="dxa" w:w="110"/>
              <w:bottom w:type="dxa" w:w="70"/>
              <w:right w:type="dxa" w:w="110"/>
            </w:tcMar>
          </w:tcPr>
          <w:p>
            <w:r>
              <w:rPr>
                <w:rFonts w:ascii="Arial" w:cs="Arial" w:eastAsia="Arial" w:hAnsi="Arial"/>
                <w:b w:val="false"/>
                <w:bCs w:val="false"/>
                <w:color w:val="444444"/>
                <w:sz w:val="17"/>
                <w:szCs w:val="17"/>
              </w:rPr>
              <w:t xml:space="preserve">Grades</w:t>
            </w:r>
          </w:p>
        </w:tc>
      </w:tr>
    </w:tbl>
    <w:p>
      <w:pPr>
        <w:pStyle w:val="Heading3"/>
        <w:spacing w:after="70" w:before="170"/>
      </w:pPr>
      <w:r>
        <w:rPr>
          <w:rFonts w:ascii="Arial" w:cs="Arial" w:eastAsia="Arial" w:hAnsi="Arial"/>
          <w:b/>
          <w:bCs/>
          <w:color w:val="2A7F8F"/>
          <w:sz w:val="22"/>
          <w:szCs w:val="22"/>
        </w:rPr>
        <w:t xml:space="preserve">Myanmar Public Holidays 2026–2027</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5558"/>
        <w:gridCol w:w="4548"/>
      </w:tblGrid>
      <w:tr>
        <w:tc>
          <w:tcPr>
            <w:tcW w:type="dxa" w:w="5558"/>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Holiday</w:t>
            </w:r>
          </w:p>
        </w:tc>
        <w:tc>
          <w:tcPr>
            <w:tcW w:type="dxa" w:w="4548"/>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Date(s)</w:t>
            </w:r>
          </w:p>
        </w:tc>
      </w:tr>
      <w:tr>
        <w:tc>
          <w:tcPr>
            <w:tcW w:type="dxa" w:w="55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Full Moon of Thadingyut</w:t>
            </w:r>
          </w:p>
        </w:tc>
        <w:tc>
          <w:tcPr>
            <w:tcW w:type="dxa" w:w="454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25, 26, 27 October 2026</w:t>
            </w:r>
          </w:p>
        </w:tc>
      </w:tr>
      <w:tr>
        <w:tc>
          <w:tcPr>
            <w:tcW w:type="dxa" w:w="555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Full Moon of Tazaungdaing</w:t>
            </w:r>
          </w:p>
        </w:tc>
        <w:tc>
          <w:tcPr>
            <w:tcW w:type="dxa" w:w="454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23, 24 November 2026</w:t>
            </w:r>
          </w:p>
        </w:tc>
      </w:tr>
      <w:tr>
        <w:tc>
          <w:tcPr>
            <w:tcW w:type="dxa" w:w="55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Diwali</w:t>
            </w:r>
          </w:p>
        </w:tc>
        <w:tc>
          <w:tcPr>
            <w:tcW w:type="dxa" w:w="454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8 November 2026</w:t>
            </w:r>
          </w:p>
        </w:tc>
      </w:tr>
      <w:tr>
        <w:tc>
          <w:tcPr>
            <w:tcW w:type="dxa" w:w="555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National Day</w:t>
            </w:r>
          </w:p>
        </w:tc>
        <w:tc>
          <w:tcPr>
            <w:tcW w:type="dxa" w:w="454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4 December 2026</w:t>
            </w:r>
          </w:p>
        </w:tc>
      </w:tr>
      <w:tr>
        <w:tc>
          <w:tcPr>
            <w:tcW w:type="dxa" w:w="55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Christmas Day</w:t>
            </w:r>
          </w:p>
        </w:tc>
        <w:tc>
          <w:tcPr>
            <w:tcW w:type="dxa" w:w="454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25 December 2026</w:t>
            </w:r>
          </w:p>
        </w:tc>
      </w:tr>
      <w:tr>
        <w:tc>
          <w:tcPr>
            <w:tcW w:type="dxa" w:w="555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New Year’s Day</w:t>
            </w:r>
          </w:p>
        </w:tc>
        <w:tc>
          <w:tcPr>
            <w:tcW w:type="dxa" w:w="454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1 January 2027</w:t>
            </w:r>
          </w:p>
        </w:tc>
      </w:tr>
      <w:tr>
        <w:tc>
          <w:tcPr>
            <w:tcW w:type="dxa" w:w="55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Independence Day</w:t>
            </w:r>
          </w:p>
        </w:tc>
        <w:tc>
          <w:tcPr>
            <w:tcW w:type="dxa" w:w="454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4 January 2027</w:t>
            </w:r>
          </w:p>
        </w:tc>
      </w:tr>
      <w:tr>
        <w:tc>
          <w:tcPr>
            <w:tcW w:type="dxa" w:w="555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Karen New Year</w:t>
            </w:r>
          </w:p>
        </w:tc>
        <w:tc>
          <w:tcPr>
            <w:tcW w:type="dxa" w:w="454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8 January 2027</w:t>
            </w:r>
          </w:p>
        </w:tc>
      </w:tr>
      <w:tr>
        <w:tc>
          <w:tcPr>
            <w:tcW w:type="dxa" w:w="55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Union Day</w:t>
            </w:r>
          </w:p>
        </w:tc>
        <w:tc>
          <w:tcPr>
            <w:tcW w:type="dxa" w:w="454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12 February 2027</w:t>
            </w:r>
          </w:p>
        </w:tc>
      </w:tr>
      <w:tr>
        <w:tc>
          <w:tcPr>
            <w:tcW w:type="dxa" w:w="555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Peasants’ Day</w:t>
            </w:r>
          </w:p>
        </w:tc>
        <w:tc>
          <w:tcPr>
            <w:tcW w:type="dxa" w:w="454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2 March 2027</w:t>
            </w:r>
          </w:p>
        </w:tc>
      </w:tr>
      <w:tr>
        <w:tc>
          <w:tcPr>
            <w:tcW w:type="dxa" w:w="55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Armed Forces Day</w:t>
            </w:r>
          </w:p>
        </w:tc>
        <w:tc>
          <w:tcPr>
            <w:tcW w:type="dxa" w:w="454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27 March 2027</w:t>
            </w:r>
          </w:p>
        </w:tc>
      </w:tr>
      <w:tr>
        <w:tc>
          <w:tcPr>
            <w:tcW w:type="dxa" w:w="555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Thingyan Water Festival</w:t>
            </w:r>
          </w:p>
        </w:tc>
        <w:tc>
          <w:tcPr>
            <w:tcW w:type="dxa" w:w="454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13, 14, 15, 16, 17 April 2027</w:t>
            </w:r>
          </w:p>
        </w:tc>
      </w:tr>
      <w:tr>
        <w:tc>
          <w:tcPr>
            <w:tcW w:type="dxa" w:w="555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Labour Day</w:t>
            </w:r>
          </w:p>
        </w:tc>
        <w:tc>
          <w:tcPr>
            <w:tcW w:type="dxa" w:w="4548"/>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1 May 2027</w:t>
            </w:r>
          </w:p>
        </w:tc>
      </w:tr>
      <w:tr>
        <w:tc>
          <w:tcPr>
            <w:tcW w:type="dxa" w:w="555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Full Moon Day of Kasong</w:t>
            </w:r>
          </w:p>
        </w:tc>
        <w:tc>
          <w:tcPr>
            <w:tcW w:type="dxa" w:w="4548"/>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20 May 2027</w:t>
            </w:r>
          </w:p>
        </w:tc>
      </w:tr>
    </w:tbl>
    <w:p>
      <w:pPr>
        <w:spacing w:after="60" w:before="60"/>
      </w:pPr>
      <w:r>
        <w:rPr>
          <w:rFonts w:ascii="Arial" w:cs="Arial" w:eastAsia="Arial" w:hAnsi="Arial"/>
          <w:i/>
          <w:iCs/>
          <w:color w:val="888888"/>
          <w:sz w:val="18"/>
          <w:szCs w:val="18"/>
        </w:rPr>
        <w:t xml:space="preserve">Buddhist Sabbath days are observed throughout the year on rotating dates and are noted on the ClassDojo calendar. All dates are subject to change; amendments are communicated via ClassDojo with as much notice as possible.</w:t>
      </w:r>
    </w:p>
    <w:p>
      <w:pPr>
        <w:pStyle w:val="Heading2"/>
        <w:spacing w:after="110" w:before="240"/>
      </w:pPr>
      <w:r>
        <w:rPr>
          <w:rFonts w:ascii="Arial" w:cs="Arial" w:eastAsia="Arial" w:hAnsi="Arial"/>
          <w:b/>
          <w:bCs/>
          <w:color w:val="1B3A6B"/>
          <w:sz w:val="26"/>
          <w:szCs w:val="26"/>
        </w:rPr>
        <w:t xml:space="preserve">B. Key School Policies</w:t>
      </w:r>
    </w:p>
    <w:p>
      <w:pPr>
        <w:spacing w:after="100" w:before="60"/>
      </w:pPr>
      <w:r>
        <w:rPr>
          <w:rFonts w:ascii="Arial" w:cs="Arial" w:eastAsia="Arial" w:hAnsi="Arial"/>
          <w:color w:val="444444"/>
          <w:sz w:val="20"/>
          <w:szCs w:val="20"/>
        </w:rPr>
        <w:t xml:space="preserve">All TOWIS policies are reviewed annually. Full versions are available on the school website and from Reception. Policies marked * require a parent and student signature on enrolment.</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3537"/>
        <w:gridCol w:w="6569"/>
      </w:tblGrid>
      <w:tr>
        <w:tc>
          <w:tcPr>
            <w:tcW w:type="dxa" w:w="3537"/>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Policy</w:t>
            </w:r>
          </w:p>
        </w:tc>
        <w:tc>
          <w:tcPr>
            <w:tcW w:type="dxa" w:w="6569"/>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Who It Affects / What It Covers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Admissions Policy</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families — how students are assessed, placed, and enrolled.</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Behaviour &amp; Discipline Policy *</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&amp; parents — ClassDojo system, Merit/House points, Amber and Red offences, escalation.</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Anti-Bullying Policy</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&amp; parents — definition, reporting, investigation, zero-tolerance stance.</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Safeguarding &amp; Child Protection Policy</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staff &amp; parents — duty of care, DSL contacts, reporting procedures.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Attendance &amp; Punctuality Policy</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&amp; parents — 92% minimum, absence reporting, unauthorised absence.</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Assessment &amp; Reporting Policy</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&amp; parents — A–E grading scale, quarterly reporting, intervention framework.</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SEND &amp; Inclusion Policy</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Students with additional needs — identification, Wave 2/3 support, referral processes.</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EAL Policy</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EAL students &amp; families — in-class and withdrawal provision, progress monitoring.</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Acceptable Use Policy (AUP) *</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&amp; parents — responsible use of school devices, internet, and ClassDojo.</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Mobile Phone &amp; Devices Policy</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 permitted devices by key stage, storage rules, consequences.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Uniform Policy</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&amp; parents — required items, footwear, hair and jewellery standards.</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Health &amp; Safety Policy</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staff &amp; visitors — first aid, emergency evacuation, risk assessments.</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Trips &amp; Educational Visits Policy</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&amp; parents — consent procedures, risk management, supervision ratios.</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Complaints Policy</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families — three-stage process, timelines, resolution.</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Home–School Agreement *</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students &amp; parents — mutual commitments on behaviour, attendance, communication.</w:t>
            </w:r>
          </w:p>
        </w:tc>
      </w:tr>
      <w:tr>
        <w:tc>
          <w:tcPr>
            <w:tcW w:type="dxa" w:w="3537"/>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Privacy Notice (Data Protection)</w:t>
            </w:r>
          </w:p>
        </w:tc>
        <w:tc>
          <w:tcPr>
            <w:tcW w:type="dxa" w:w="6569"/>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families — how the school collects, stores, and uses personal data.</w:t>
            </w:r>
          </w:p>
        </w:tc>
      </w:tr>
      <w:tr>
        <w:tc>
          <w:tcPr>
            <w:tcW w:type="dxa" w:w="3537"/>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Fee Policy</w:t>
            </w:r>
          </w:p>
        </w:tc>
        <w:tc>
          <w:tcPr>
            <w:tcW w:type="dxa" w:w="656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All families — fee schedule, payment terms, late payment, refund policy.</w:t>
            </w:r>
          </w:p>
        </w:tc>
      </w:tr>
    </w:tbl>
    <w:p>
      <w:pPr>
        <w:pStyle w:val="Heading2"/>
        <w:spacing w:after="110" w:before="240"/>
      </w:pPr>
      <w:r>
        <w:rPr>
          <w:rFonts w:ascii="Arial" w:cs="Arial" w:eastAsia="Arial" w:hAnsi="Arial"/>
          <w:b/>
          <w:bCs/>
          <w:color w:val="1B3A6B"/>
          <w:sz w:val="26"/>
          <w:szCs w:val="26"/>
        </w:rPr>
        <w:t xml:space="preserve">C. Useful Links</w:t>
      </w:r>
    </w:p>
    <w:p>
      <w:pPr>
        <w:spacing w:after="100" w:before="60"/>
      </w:pPr>
      <w:r>
        <w:rPr>
          <w:rFonts w:ascii="Arial" w:cs="Arial" w:eastAsia="Arial" w:hAnsi="Arial"/>
          <w:color w:val="444444"/>
          <w:sz w:val="20"/>
          <w:szCs w:val="20"/>
        </w:rPr>
        <w:t xml:space="preserve">School Website: Under construction — contact admissions@owis-yangon.com for the latest information.</w:t>
      </w:r>
    </w:p>
    <w:p>
      <w:pPr>
        <w:spacing w:after="100" w:before="60"/>
      </w:pPr>
      <w:r>
        <w:rPr>
          <w:rFonts w:ascii="Arial" w:cs="Arial" w:eastAsia="Arial" w:hAnsi="Arial"/>
          <w:color w:val="444444"/>
          <w:sz w:val="20"/>
          <w:szCs w:val="20"/>
        </w:rPr>
        <w:t xml:space="preserve">ClassDojo: Invitation sent on enrolment — contact itsupport@towa.edu.mm for access issues.</w:t>
      </w:r>
    </w:p>
    <w:p>
      <w:pPr>
        <w:spacing w:after="100" w:before="60"/>
      </w:pPr>
      <w:r>
        <w:rPr>
          <w:rFonts w:ascii="Arial" w:cs="Arial" w:eastAsia="Arial" w:hAnsi="Arial"/>
          <w:color w:val="444444"/>
          <w:sz w:val="20"/>
          <w:szCs w:val="20"/>
        </w:rPr>
        <w:t xml:space="preserve">School Location: https://maps.app.goo.gl/P4ZEpQEZQW2KVLibA</w:t>
      </w:r>
    </w:p>
    <w:p>
      <w:pPr>
        <w:spacing w:after="100" w:before="60"/>
      </w:pPr>
      <w:r>
        <w:rPr>
          <w:rFonts w:ascii="Arial" w:cs="Arial" w:eastAsia="Arial" w:hAnsi="Arial"/>
          <w:color w:val="444444"/>
          <w:sz w:val="20"/>
          <w:szCs w:val="20"/>
        </w:rPr>
        <w:t xml:space="preserve">Cambridge International Education: www.cambridgeinternational.org</w:t>
      </w:r>
    </w:p>
    <w:p>
      <w:pPr>
        <w:pStyle w:val="Heading2"/>
        <w:spacing w:after="110" w:before="240"/>
      </w:pPr>
      <w:r>
        <w:rPr>
          <w:rFonts w:ascii="Arial" w:cs="Arial" w:eastAsia="Arial" w:hAnsi="Arial"/>
          <w:b/>
          <w:bCs/>
          <w:color w:val="1B3A6B"/>
          <w:sz w:val="26"/>
          <w:szCs w:val="26"/>
        </w:rPr>
        <w:t xml:space="preserve">D. Glossary of British Curriculum Terms</w:t>
      </w:r>
    </w:p>
    <w:tbl>
      <w:tblPr>
        <w:tblW w:type="dxa" w:w="10106"/>
        <w:tblBorders>
          <w:top w:val="single" w:color="auto" w:sz="4"/>
          <w:left w:val="single" w:color="auto" w:sz="4"/>
          <w:bottom w:val="single" w:color="auto" w:sz="4"/>
          <w:right w:val="single" w:color="auto" w:sz="4"/>
          <w:insideH w:val="single" w:color="auto" w:sz="4"/>
          <w:insideV w:val="single" w:color="auto" w:sz="4"/>
        </w:tblBorders>
      </w:tblPr>
      <w:tblGrid>
        <w:gridCol w:w="2021"/>
        <w:gridCol w:w="8085"/>
      </w:tblGrid>
      <w:tr>
        <w:tc>
          <w:tcPr>
            <w:tcW w:type="dxa" w:w="2021"/>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Term</w:t>
            </w:r>
          </w:p>
        </w:tc>
        <w:tc>
          <w:tcPr>
            <w:tcW w:type="dxa" w:w="8085"/>
            <w:tcBorders>
              <w:top w:val="none" w:color="FFFFFF" w:sz="0"/>
              <w:left w:val="none" w:color="FFFFFF" w:sz="0"/>
              <w:bottom w:val="none" w:color="FFFFFF" w:sz="0"/>
              <w:right w:val="none" w:color="FFFFFF" w:sz="0"/>
            </w:tcBorders>
            <w:shd w:fill="1B3A6B" w:val="clear"/>
            <w:tcMar>
              <w:top w:type="dxa" w:w="80"/>
              <w:left w:type="dxa" w:w="120"/>
              <w:bottom w:type="dxa" w:w="80"/>
              <w:right w:type="dxa" w:w="120"/>
            </w:tcMar>
          </w:tcPr>
          <w:p>
            <w:r>
              <w:rPr>
                <w:rFonts w:ascii="Arial" w:cs="Arial" w:eastAsia="Arial" w:hAnsi="Arial"/>
                <w:b/>
                <w:bCs/>
                <w:color w:val="FFFFFF"/>
                <w:sz w:val="18"/>
                <w:szCs w:val="18"/>
              </w:rPr>
              <w:t xml:space="preserve">Meaning</w:t>
            </w:r>
          </w:p>
        </w:tc>
      </w:tr>
      <w:tr>
        <w:tc>
          <w:tcPr>
            <w:tcW w:type="dxa" w:w="202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EYFS</w:t>
            </w:r>
          </w:p>
        </w:tc>
        <w:tc>
          <w:tcPr>
            <w:tcW w:type="dxa" w:w="80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Early Years Foundation Stage – Nursery &amp; Reception (ages 3–5)</w:t>
            </w:r>
          </w:p>
        </w:tc>
      </w:tr>
      <w:tr>
        <w:tc>
          <w:tcPr>
            <w:tcW w:type="dxa" w:w="202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KS1</w:t>
            </w:r>
          </w:p>
        </w:tc>
        <w:tc>
          <w:tcPr>
            <w:tcW w:type="dxa" w:w="808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Key Stage 1 – Years 1–2 (ages 5–7)</w:t>
            </w:r>
          </w:p>
        </w:tc>
      </w:tr>
      <w:tr>
        <w:tc>
          <w:tcPr>
            <w:tcW w:type="dxa" w:w="202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KS2</w:t>
            </w:r>
          </w:p>
        </w:tc>
        <w:tc>
          <w:tcPr>
            <w:tcW w:type="dxa" w:w="80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Key Stage 2 – Years 3–6 (ages 7–11)</w:t>
            </w:r>
          </w:p>
        </w:tc>
      </w:tr>
      <w:tr>
        <w:tc>
          <w:tcPr>
            <w:tcW w:type="dxa" w:w="202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KS3</w:t>
            </w:r>
          </w:p>
        </w:tc>
        <w:tc>
          <w:tcPr>
            <w:tcW w:type="dxa" w:w="808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Key Stage 3 – Years 7–9 (ages 11–14)</w:t>
            </w:r>
          </w:p>
        </w:tc>
      </w:tr>
      <w:tr>
        <w:tc>
          <w:tcPr>
            <w:tcW w:type="dxa" w:w="202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KS4</w:t>
            </w:r>
          </w:p>
        </w:tc>
        <w:tc>
          <w:tcPr>
            <w:tcW w:type="dxa" w:w="80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Key Stage 4 – Years 10–11 (ages 14–16); leads to IGCSE examinations</w:t>
            </w:r>
          </w:p>
        </w:tc>
      </w:tr>
      <w:tr>
        <w:tc>
          <w:tcPr>
            <w:tcW w:type="dxa" w:w="202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IGCSE</w:t>
            </w:r>
          </w:p>
        </w:tc>
        <w:tc>
          <w:tcPr>
            <w:tcW w:type="dxa" w:w="808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International General Certificate of Secondary Education</w:t>
            </w:r>
          </w:p>
        </w:tc>
      </w:tr>
      <w:tr>
        <w:tc>
          <w:tcPr>
            <w:tcW w:type="dxa" w:w="202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SEN / SEND</w:t>
            </w:r>
          </w:p>
        </w:tc>
        <w:tc>
          <w:tcPr>
            <w:tcW w:type="dxa" w:w="80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Special Educational Needs (and Disabilities)</w:t>
            </w:r>
          </w:p>
        </w:tc>
      </w:tr>
      <w:tr>
        <w:tc>
          <w:tcPr>
            <w:tcW w:type="dxa" w:w="202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EAL</w:t>
            </w:r>
          </w:p>
        </w:tc>
        <w:tc>
          <w:tcPr>
            <w:tcW w:type="dxa" w:w="808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English as an Additional Language</w:t>
            </w:r>
          </w:p>
        </w:tc>
      </w:tr>
      <w:tr>
        <w:tc>
          <w:tcPr>
            <w:tcW w:type="dxa" w:w="202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PSHE</w:t>
            </w:r>
          </w:p>
        </w:tc>
        <w:tc>
          <w:tcPr>
            <w:tcW w:type="dxa" w:w="80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Personal, Social, Health and Economic education</w:t>
            </w:r>
          </w:p>
        </w:tc>
      </w:tr>
      <w:tr>
        <w:tc>
          <w:tcPr>
            <w:tcW w:type="dxa" w:w="202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CCA</w:t>
            </w:r>
          </w:p>
        </w:tc>
        <w:tc>
          <w:tcPr>
            <w:tcW w:type="dxa" w:w="808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Co-Curricular Activity (extra-curricular clubs &amp; sport)</w:t>
            </w:r>
          </w:p>
        </w:tc>
      </w:tr>
      <w:tr>
        <w:tc>
          <w:tcPr>
            <w:tcW w:type="dxa" w:w="202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DSL</w:t>
            </w:r>
          </w:p>
        </w:tc>
        <w:tc>
          <w:tcPr>
            <w:tcW w:type="dxa" w:w="8085"/>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18"/>
                <w:szCs w:val="18"/>
              </w:rPr>
              <w:t xml:space="preserve">Designated Safeguarding Lead</w:t>
            </w:r>
          </w:p>
        </w:tc>
      </w:tr>
      <w:tr>
        <w:tc>
          <w:tcPr>
            <w:tcW w:type="dxa" w:w="2021"/>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ACE</w:t>
            </w:r>
          </w:p>
        </w:tc>
        <w:tc>
          <w:tcPr>
            <w:tcW w:type="dxa" w:w="8085"/>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color w:val="444444"/>
                <w:sz w:val="18"/>
                <w:szCs w:val="18"/>
              </w:rPr>
              <w:t xml:space="preserve">Academic Excellence, Character Development, Engagement — the TOWIS holistic framework</w:t>
            </w:r>
          </w:p>
        </w:tc>
      </w:tr>
    </w:tbl>
    <w:p>
      <w:pPr>
        <w:spacing w:after="80" w:before="160"/>
      </w:pPr>
    </w:p>
    <w:p>
      <w:pPr>
        <w:pBdr>
          <w:bottom w:val="single" w:color="C9A84C" w:sz="6" w:space="1"/>
        </w:pBdr>
        <w:spacing w:after="60" w:before="60"/>
      </w:pPr>
    </w:p>
    <w:p>
      <w:pPr>
        <w:spacing w:after="40" w:before="80"/>
        <w:jc w:val="center"/>
      </w:pPr>
      <w:r>
        <w:rPr>
          <w:rFonts w:ascii="Arial" w:cs="Arial" w:eastAsia="Arial" w:hAnsi="Arial"/>
          <w:i/>
          <w:iCs/>
          <w:color w:val="444444"/>
          <w:sz w:val="18"/>
          <w:szCs w:val="18"/>
        </w:rPr>
        <w:t xml:space="preserve">This handbook is reviewed annually.</w:t>
      </w:r>
    </w:p>
    <w:p>
      <w:pPr>
        <w:spacing w:after="0" w:before="0"/>
        <w:jc w:val="center"/>
      </w:pPr>
      <w:r>
        <w:rPr>
          <w:rFonts w:ascii="Arial" w:cs="Arial" w:eastAsia="Arial" w:hAnsi="Arial"/>
          <w:i/>
          <w:iCs/>
          <w:color w:val="444444"/>
          <w:sz w:val="18"/>
          <w:szCs w:val="18"/>
        </w:rPr>
        <w:t xml:space="preserve">Last updated: August 2026  |  For School Community Use Only</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space="1"/>
      </w:pBdr>
      <w:tabs>
        <w:tab w:val="right" w:pos="10106"/>
      </w:tabs>
      <w:spacing w:after="0" w:before="60"/>
    </w:pPr>
    <w:r>
      <w:rPr>
        <w:rFonts w:ascii="Arial" w:cs="Arial" w:eastAsia="Arial" w:hAnsi="Arial"/>
        <w:color w:val="444444"/>
        <w:sz w:val="16"/>
        <w:szCs w:val="16"/>
      </w:rPr>
      <w:t xml:space="preserve">admissions@owis-yangon.com  |  +95 9 45063 4402</w:t>
    </w:r>
    <w:r>
      <w:rPr>
        <w:rFonts w:ascii="Arial" w:cs="Arial" w:eastAsia="Arial" w:hAnsi="Arial"/>
        <w:color w:val="444444"/>
        <w:sz w:val="16"/>
        <w:szCs w:val="16"/>
      </w:rPr>
      <w:t xml:space="preserve">	For School Community Use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space="1"/>
      </w:pBdr>
      <w:spacing w:after="60" w:before="0"/>
    </w:pPr>
    <w:r>
      <w:rPr>
        <w:rFonts w:ascii="Arial" w:cs="Arial" w:eastAsia="Arial" w:hAnsi="Arial"/>
        <w:i/>
        <w:iCs/>
        <w:color w:val="1B3A6B"/>
        <w:sz w:val="16"/>
        <w:szCs w:val="16"/>
      </w:rPr>
      <w:t xml:space="preserve">The One World International School Yangon  |  Parent &amp; Community Handbook 2026–2027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spacing w:after="40" w:before="40"/>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44444"/>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pPr>
      <w:spacing w:after="110" w:before="240"/>
      <w:outlineLvl w:val="1"/>
    </w:pPr>
    <w:rPr>
      <w:rFonts w:ascii="Arial" w:cs="Arial" w:eastAsia="Arial" w:hAnsi="Arial"/>
      <w:b/>
      <w:bCs/>
      <w:color w:val="1B3A6B"/>
      <w:sz w:val="26"/>
      <w:szCs w:val="26"/>
    </w:rPr>
  </w:style>
  <w:style w:type="paragraph" w:styleId="Heading3">
    <w:name w:val="Heading 3"/>
    <w:basedOn w:val="Normal"/>
    <w:next w:val="Normal"/>
    <w:qFormat/>
    <w:pPr>
      <w:spacing w:after="70" w:before="170"/>
      <w:outlineLvl w:val="2"/>
    </w:pPr>
    <w:rPr>
      <w:rFonts w:ascii="Arial" w:cs="Arial" w:eastAsia="Arial" w:hAnsi="Arial"/>
      <w:b/>
      <w:bCs/>
      <w:color w:val="2A7F8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2026-06-05T08:44:12.392Z</dcterms:created>
  <dcterms:modified xsi:type="dcterms:W3CDTF">2026-06-05T08:44:12.410Z</dcterms:modified>
</cp:coreProperties>
</file>

<file path=docProps/custom.xml><?xml version="1.0" encoding="utf-8"?>
<Properties xmlns="http://schemas.openxmlformats.org/officeDocument/2006/custom-properties" xmlns:vt="http://schemas.openxmlformats.org/officeDocument/2006/docPropsVTypes"/>
</file>